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1868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方正小标宋简体" w:hAnsi="方正小标宋简体" w:eastAsia="方正小标宋简体" w:cs="方正小标宋简体"/>
          <w:color w:val="000000"/>
          <w:kern w:val="0"/>
          <w:sz w:val="43"/>
          <w:szCs w:val="43"/>
          <w:lang w:val="en-US" w:eastAsia="zh-CN" w:bidi="ar"/>
        </w:rPr>
      </w:pPr>
    </w:p>
    <w:p w14:paraId="0E532C7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方正小标宋简体" w:hAnsi="方正小标宋简体" w:eastAsia="方正小标宋简体" w:cs="方正小标宋简体"/>
          <w:color w:val="000000"/>
          <w:kern w:val="0"/>
          <w:sz w:val="43"/>
          <w:szCs w:val="43"/>
          <w:lang w:val="en-US" w:eastAsia="zh-CN" w:bidi="ar"/>
        </w:rPr>
      </w:pPr>
    </w:p>
    <w:p w14:paraId="0C5AF0E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方正小标宋简体" w:hAnsi="方正小标宋简体" w:eastAsia="方正小标宋简体" w:cs="方正小标宋简体"/>
          <w:color w:val="000000"/>
          <w:kern w:val="0"/>
          <w:sz w:val="43"/>
          <w:szCs w:val="43"/>
          <w:lang w:val="en-US" w:eastAsia="zh-CN" w:bidi="ar"/>
        </w:rPr>
      </w:pPr>
    </w:p>
    <w:p w14:paraId="3E7B20A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方正小标宋简体" w:hAnsi="方正小标宋简体" w:eastAsia="方正小标宋简体" w:cs="方正小标宋简体"/>
          <w:color w:val="000000"/>
          <w:kern w:val="0"/>
          <w:sz w:val="43"/>
          <w:szCs w:val="43"/>
          <w:lang w:val="en-US" w:eastAsia="zh-CN" w:bidi="ar"/>
        </w:rPr>
      </w:pPr>
    </w:p>
    <w:p w14:paraId="4F01678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方正小标宋简体" w:hAnsi="方正小标宋简体" w:eastAsia="方正小标宋简体" w:cs="方正小标宋简体"/>
          <w:color w:val="000000"/>
          <w:kern w:val="0"/>
          <w:sz w:val="43"/>
          <w:szCs w:val="43"/>
          <w:lang w:val="en-US" w:eastAsia="zh-CN" w:bidi="ar"/>
        </w:rPr>
      </w:pPr>
      <w:r>
        <w:rPr>
          <w:rFonts w:hint="eastAsia" w:ascii="方正小标宋简体" w:hAnsi="方正小标宋简体" w:eastAsia="方正小标宋简体" w:cs="方正小标宋简体"/>
          <w:color w:val="000000"/>
          <w:kern w:val="0"/>
          <w:sz w:val="43"/>
          <w:szCs w:val="43"/>
          <w:lang w:val="en-US" w:eastAsia="zh-CN" w:bidi="ar"/>
        </w:rPr>
        <w:t>2025</w:t>
      </w:r>
      <w:r>
        <w:rPr>
          <w:rFonts w:ascii="方正小标宋简体" w:hAnsi="方正小标宋简体" w:eastAsia="方正小标宋简体" w:cs="方正小标宋简体"/>
          <w:color w:val="000000"/>
          <w:kern w:val="0"/>
          <w:sz w:val="43"/>
          <w:szCs w:val="43"/>
          <w:lang w:val="en-US" w:eastAsia="zh-CN" w:bidi="ar"/>
        </w:rPr>
        <w:t>年度</w:t>
      </w:r>
      <w:r>
        <w:rPr>
          <w:rFonts w:hint="eastAsia" w:ascii="方正小标宋简体" w:hAnsi="方正小标宋简体" w:eastAsia="方正小标宋简体" w:cs="方正小标宋简体"/>
          <w:color w:val="000000"/>
          <w:kern w:val="0"/>
          <w:sz w:val="43"/>
          <w:szCs w:val="43"/>
          <w:lang w:val="en-US" w:eastAsia="zh-CN" w:bidi="ar"/>
        </w:rPr>
        <w:t>内蒙古自治区无线电监测站</w:t>
      </w:r>
    </w:p>
    <w:p w14:paraId="44F40EC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pPr>
      <w:r>
        <w:rPr>
          <w:rFonts w:hint="eastAsia" w:ascii="方正小标宋简体" w:hAnsi="方正小标宋简体" w:eastAsia="方正小标宋简体" w:cs="方正小标宋简体"/>
          <w:color w:val="000000"/>
          <w:kern w:val="0"/>
          <w:sz w:val="43"/>
          <w:szCs w:val="43"/>
          <w:lang w:val="en-US" w:eastAsia="zh-CN" w:bidi="ar"/>
        </w:rPr>
        <w:t>乌兰察布市分站</w:t>
      </w:r>
      <w:r>
        <w:rPr>
          <w:rFonts w:ascii="方正小标宋简体" w:hAnsi="方正小标宋简体" w:eastAsia="方正小标宋简体" w:cs="方正小标宋简体"/>
          <w:color w:val="000000"/>
          <w:kern w:val="0"/>
          <w:sz w:val="43"/>
          <w:szCs w:val="43"/>
          <w:lang w:val="en-US" w:eastAsia="zh-CN" w:bidi="ar"/>
        </w:rPr>
        <w:t>预算公开</w:t>
      </w:r>
    </w:p>
    <w:p w14:paraId="62BF517E">
      <w:pPr>
        <w:keepNext w:val="0"/>
        <w:keepLines w:val="0"/>
        <w:widowControl/>
        <w:suppressLineNumbers w:val="0"/>
        <w:jc w:val="left"/>
        <w:rPr>
          <w:rFonts w:ascii="黑体" w:hAnsi="宋体" w:eastAsia="黑体" w:cs="黑体"/>
          <w:color w:val="000000"/>
          <w:kern w:val="0"/>
          <w:sz w:val="31"/>
          <w:szCs w:val="31"/>
          <w:lang w:val="en-US" w:eastAsia="zh-CN" w:bidi="ar"/>
        </w:rPr>
      </w:pPr>
    </w:p>
    <w:p w14:paraId="00A7612C">
      <w:pPr>
        <w:keepNext w:val="0"/>
        <w:keepLines w:val="0"/>
        <w:widowControl/>
        <w:suppressLineNumbers w:val="0"/>
        <w:jc w:val="left"/>
        <w:rPr>
          <w:rFonts w:ascii="黑体" w:hAnsi="宋体" w:eastAsia="黑体" w:cs="黑体"/>
          <w:color w:val="000000"/>
          <w:kern w:val="0"/>
          <w:sz w:val="31"/>
          <w:szCs w:val="31"/>
          <w:lang w:val="en-US" w:eastAsia="zh-CN" w:bidi="ar"/>
        </w:rPr>
      </w:pPr>
    </w:p>
    <w:p w14:paraId="5D738211">
      <w:pPr>
        <w:keepNext w:val="0"/>
        <w:keepLines w:val="0"/>
        <w:widowControl/>
        <w:suppressLineNumbers w:val="0"/>
        <w:jc w:val="left"/>
        <w:rPr>
          <w:rFonts w:ascii="黑体" w:hAnsi="宋体" w:eastAsia="黑体" w:cs="黑体"/>
          <w:color w:val="000000"/>
          <w:kern w:val="0"/>
          <w:sz w:val="31"/>
          <w:szCs w:val="31"/>
          <w:lang w:val="en-US" w:eastAsia="zh-CN" w:bidi="ar"/>
        </w:rPr>
      </w:pPr>
    </w:p>
    <w:p w14:paraId="63E00127">
      <w:pPr>
        <w:keepNext w:val="0"/>
        <w:keepLines w:val="0"/>
        <w:widowControl/>
        <w:suppressLineNumbers w:val="0"/>
        <w:jc w:val="left"/>
        <w:rPr>
          <w:rFonts w:ascii="黑体" w:hAnsi="宋体" w:eastAsia="黑体" w:cs="黑体"/>
          <w:color w:val="000000"/>
          <w:kern w:val="0"/>
          <w:sz w:val="31"/>
          <w:szCs w:val="31"/>
          <w:lang w:val="en-US" w:eastAsia="zh-CN" w:bidi="ar"/>
        </w:rPr>
      </w:pPr>
    </w:p>
    <w:p w14:paraId="70D5EACC">
      <w:pPr>
        <w:keepNext w:val="0"/>
        <w:keepLines w:val="0"/>
        <w:widowControl/>
        <w:suppressLineNumbers w:val="0"/>
        <w:jc w:val="left"/>
        <w:rPr>
          <w:rFonts w:ascii="黑体" w:hAnsi="宋体" w:eastAsia="黑体" w:cs="黑体"/>
          <w:color w:val="000000"/>
          <w:kern w:val="0"/>
          <w:sz w:val="31"/>
          <w:szCs w:val="31"/>
          <w:lang w:val="en-US" w:eastAsia="zh-CN" w:bidi="ar"/>
        </w:rPr>
      </w:pPr>
    </w:p>
    <w:p w14:paraId="21FAF79E">
      <w:pPr>
        <w:keepNext w:val="0"/>
        <w:keepLines w:val="0"/>
        <w:widowControl/>
        <w:suppressLineNumbers w:val="0"/>
        <w:jc w:val="left"/>
        <w:rPr>
          <w:rFonts w:ascii="黑体" w:hAnsi="宋体" w:eastAsia="黑体" w:cs="黑体"/>
          <w:color w:val="000000"/>
          <w:kern w:val="0"/>
          <w:sz w:val="31"/>
          <w:szCs w:val="31"/>
          <w:lang w:val="en-US" w:eastAsia="zh-CN" w:bidi="ar"/>
        </w:rPr>
      </w:pPr>
    </w:p>
    <w:p w14:paraId="12A87FA2">
      <w:pPr>
        <w:pStyle w:val="2"/>
        <w:rPr>
          <w:rFonts w:ascii="黑体" w:hAnsi="宋体" w:eastAsia="黑体" w:cs="黑体"/>
          <w:color w:val="000000"/>
          <w:kern w:val="0"/>
          <w:sz w:val="31"/>
          <w:szCs w:val="31"/>
          <w:lang w:val="en-US" w:eastAsia="zh-CN" w:bidi="ar"/>
        </w:rPr>
      </w:pPr>
    </w:p>
    <w:p w14:paraId="7EBAE34D">
      <w:pPr>
        <w:pStyle w:val="2"/>
        <w:rPr>
          <w:rFonts w:ascii="黑体" w:hAnsi="宋体" w:eastAsia="黑体" w:cs="黑体"/>
          <w:color w:val="000000"/>
          <w:kern w:val="0"/>
          <w:sz w:val="31"/>
          <w:szCs w:val="31"/>
          <w:lang w:val="en-US" w:eastAsia="zh-CN" w:bidi="ar"/>
        </w:rPr>
      </w:pPr>
    </w:p>
    <w:p w14:paraId="284DE7B2">
      <w:pPr>
        <w:keepNext w:val="0"/>
        <w:keepLines w:val="0"/>
        <w:widowControl/>
        <w:suppressLineNumbers w:val="0"/>
        <w:jc w:val="left"/>
        <w:rPr>
          <w:rFonts w:ascii="黑体" w:hAnsi="宋体" w:eastAsia="黑体" w:cs="黑体"/>
          <w:color w:val="000000"/>
          <w:kern w:val="0"/>
          <w:sz w:val="31"/>
          <w:szCs w:val="31"/>
          <w:lang w:val="en-US" w:eastAsia="zh-CN" w:bidi="ar"/>
        </w:rPr>
      </w:pPr>
    </w:p>
    <w:p w14:paraId="288861C0">
      <w:pPr>
        <w:keepNext w:val="0"/>
        <w:keepLines w:val="0"/>
        <w:widowControl/>
        <w:suppressLineNumbers w:val="0"/>
        <w:jc w:val="center"/>
      </w:pPr>
      <w:r>
        <w:rPr>
          <w:rFonts w:ascii="黑体" w:hAnsi="宋体" w:eastAsia="黑体" w:cs="黑体"/>
          <w:color w:val="000000"/>
          <w:kern w:val="0"/>
          <w:sz w:val="31"/>
          <w:szCs w:val="31"/>
          <w:lang w:val="en-US" w:eastAsia="zh-CN" w:bidi="ar"/>
        </w:rPr>
        <w:t>批复时间：</w:t>
      </w:r>
      <w:r>
        <w:rPr>
          <w:rFonts w:hint="eastAsia" w:ascii="黑体" w:hAnsi="宋体" w:eastAsia="黑体" w:cs="黑体"/>
          <w:color w:val="000000"/>
          <w:kern w:val="0"/>
          <w:sz w:val="31"/>
          <w:szCs w:val="31"/>
          <w:lang w:val="en-US" w:eastAsia="zh-CN" w:bidi="ar"/>
        </w:rPr>
        <w:t>2025年 1月24日</w:t>
      </w:r>
    </w:p>
    <w:p w14:paraId="7E5FA4DD">
      <w:pPr>
        <w:keepNext w:val="0"/>
        <w:keepLines w:val="0"/>
        <w:widowControl/>
        <w:suppressLineNumbers w:val="0"/>
        <w:jc w:val="center"/>
      </w:pPr>
      <w:r>
        <w:rPr>
          <w:rFonts w:hint="eastAsia" w:ascii="黑体" w:hAnsi="宋体" w:eastAsia="黑体" w:cs="黑体"/>
          <w:color w:val="000000"/>
          <w:kern w:val="0"/>
          <w:sz w:val="31"/>
          <w:szCs w:val="31"/>
          <w:lang w:val="en-US" w:eastAsia="zh-CN" w:bidi="ar"/>
        </w:rPr>
        <w:t>公开时间：2024年 2月 7日</w:t>
      </w:r>
    </w:p>
    <w:p w14:paraId="07364C29">
      <w:pPr>
        <w:keepNext w:val="0"/>
        <w:keepLines w:val="0"/>
        <w:widowControl/>
        <w:suppressLineNumbers w:val="0"/>
        <w:jc w:val="left"/>
        <w:rPr>
          <w:rFonts w:hint="eastAsia" w:ascii="宋体" w:hAnsi="宋体" w:eastAsia="宋体" w:cs="宋体"/>
          <w:color w:val="000000"/>
          <w:kern w:val="0"/>
          <w:sz w:val="43"/>
          <w:szCs w:val="43"/>
          <w:lang w:val="en-US" w:eastAsia="zh-CN" w:bidi="ar"/>
        </w:rPr>
      </w:pPr>
    </w:p>
    <w:p w14:paraId="74ADC8A9">
      <w:pPr>
        <w:pStyle w:val="2"/>
        <w:rPr>
          <w:rFonts w:hint="eastAsia" w:ascii="宋体" w:hAnsi="宋体" w:eastAsia="宋体" w:cs="宋体"/>
          <w:color w:val="000000"/>
          <w:kern w:val="0"/>
          <w:sz w:val="43"/>
          <w:szCs w:val="43"/>
          <w:lang w:val="en-US" w:eastAsia="zh-CN" w:bidi="ar"/>
        </w:rPr>
      </w:pPr>
    </w:p>
    <w:p w14:paraId="44CBE2DA">
      <w:pPr>
        <w:keepNext w:val="0"/>
        <w:keepLines w:val="0"/>
        <w:widowControl/>
        <w:suppressLineNumbers w:val="0"/>
        <w:jc w:val="left"/>
      </w:pPr>
      <w:r>
        <w:rPr>
          <w:rFonts w:hint="eastAsia" w:ascii="宋体" w:hAnsi="宋体" w:eastAsia="宋体" w:cs="宋体"/>
          <w:color w:val="000000"/>
          <w:kern w:val="0"/>
          <w:sz w:val="43"/>
          <w:szCs w:val="43"/>
          <w:lang w:val="en-US" w:eastAsia="zh-CN" w:bidi="ar"/>
        </w:rPr>
        <w:t xml:space="preserve">目 录 </w:t>
      </w:r>
    </w:p>
    <w:p w14:paraId="2291DCFC">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第一部分 单位概况 </w:t>
      </w:r>
    </w:p>
    <w:p w14:paraId="12E0657A">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一、主要职能、职责 </w:t>
      </w:r>
    </w:p>
    <w:p w14:paraId="7B7A590D">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二、机构设置及预算单位构成情况 </w:t>
      </w:r>
    </w:p>
    <w:p w14:paraId="7C7880F2">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三、2025年度单位主要工作任务及目标 </w:t>
      </w:r>
    </w:p>
    <w:p w14:paraId="035E44ED">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第二部分 2025年度单位预算情况说明 </w:t>
      </w:r>
    </w:p>
    <w:p w14:paraId="237773D3">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一、收支预算总体情况说明 </w:t>
      </w:r>
    </w:p>
    <w:p w14:paraId="7ED5FAAD">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二、收入预算情况说明 </w:t>
      </w:r>
    </w:p>
    <w:p w14:paraId="4953E6AF">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三、支出预算情况说明 </w:t>
      </w:r>
    </w:p>
    <w:p w14:paraId="693E31C8">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四、财政拨款收支预算总体情况说明 </w:t>
      </w:r>
    </w:p>
    <w:p w14:paraId="5D535E69">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五、一般公共预算支出预算情况说明 </w:t>
      </w:r>
    </w:p>
    <w:p w14:paraId="16115111">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六、一般公共预算基本支出预算情况说明 </w:t>
      </w:r>
    </w:p>
    <w:p w14:paraId="48E7F4E2">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七、一般公共预算“三公”经费支出预算情况说明 </w:t>
      </w:r>
    </w:p>
    <w:p w14:paraId="5B6B97C7">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八、政府性基金预算支出预算情况说明 </w:t>
      </w:r>
    </w:p>
    <w:p w14:paraId="628752B8">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九、国有资本经营预算支出预算情况说明 </w:t>
      </w:r>
    </w:p>
    <w:p w14:paraId="618B31F7">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十、项目支出预算情况说明 </w:t>
      </w:r>
    </w:p>
    <w:p w14:paraId="5073C976">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十一、机构运行经费支出预算情况说明 </w:t>
      </w:r>
    </w:p>
    <w:p w14:paraId="034A311B">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十二、政府采购支出预算情况说明 </w:t>
      </w:r>
    </w:p>
    <w:p w14:paraId="2A486E49">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十三、国有资产占用情况说明 </w:t>
      </w:r>
    </w:p>
    <w:p w14:paraId="2CA186BF">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十四、项目绩效目标情况说明 </w:t>
      </w:r>
    </w:p>
    <w:p w14:paraId="17D3F82F">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第三部分 名词解释 </w:t>
      </w:r>
    </w:p>
    <w:p w14:paraId="21777341">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第四部分 预算公开联系方式及信息反馈渠道 </w:t>
      </w:r>
    </w:p>
    <w:p w14:paraId="0A43FEDC">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第五部分 2025年度单位预算表</w:t>
      </w:r>
    </w:p>
    <w:p w14:paraId="79D879AD">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一、收支总表 </w:t>
      </w:r>
    </w:p>
    <w:p w14:paraId="62D747FC">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二、收入总表 </w:t>
      </w:r>
    </w:p>
    <w:p w14:paraId="15EBF7CD">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三、支出总表 </w:t>
      </w:r>
    </w:p>
    <w:p w14:paraId="0B5A0C2A">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四、财政拨款收支总表 </w:t>
      </w:r>
    </w:p>
    <w:p w14:paraId="50A62E4A">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五、一般公共预算支出表 </w:t>
      </w:r>
    </w:p>
    <w:p w14:paraId="246D54F4">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六、一般公共预算基本支出表 </w:t>
      </w:r>
    </w:p>
    <w:p w14:paraId="053B1167">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七、一般公共预算“三公”经费支出表 </w:t>
      </w:r>
    </w:p>
    <w:p w14:paraId="3BC10A00">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八、政府性基金预算支出表 </w:t>
      </w:r>
    </w:p>
    <w:p w14:paraId="36B2E536">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九、国有资本经营预算支出表 </w:t>
      </w:r>
    </w:p>
    <w:p w14:paraId="7BBA34D4">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十、项目支出表 </w:t>
      </w:r>
    </w:p>
    <w:p w14:paraId="2AEC1AEF">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十一、项目绩效目标表 </w:t>
      </w:r>
    </w:p>
    <w:p w14:paraId="03D6C769">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十二、政府采购预算表 </w:t>
      </w:r>
    </w:p>
    <w:p w14:paraId="3B0BFAA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01208D5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57F1753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6730D5D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490018D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58D5839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43C824A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5111477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06F4256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i w:val="0"/>
          <w:iCs w:val="0"/>
          <w:caps w:val="0"/>
          <w:color w:val="333333"/>
          <w:spacing w:val="0"/>
          <w:sz w:val="28"/>
          <w:szCs w:val="28"/>
          <w:shd w:val="clear" w:fill="FFFFFF"/>
        </w:rPr>
      </w:pPr>
    </w:p>
    <w:p w14:paraId="23BC4EC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宋体" w:hAnsi="宋体" w:eastAsia="宋体" w:cs="宋体"/>
          <w:sz w:val="28"/>
          <w:szCs w:val="28"/>
        </w:rPr>
      </w:pPr>
      <w:r>
        <w:rPr>
          <w:rStyle w:val="8"/>
          <w:rFonts w:hint="eastAsia" w:ascii="宋体" w:hAnsi="宋体" w:eastAsia="宋体" w:cs="宋体"/>
          <w:i w:val="0"/>
          <w:iCs w:val="0"/>
          <w:caps w:val="0"/>
          <w:color w:val="333333"/>
          <w:spacing w:val="0"/>
          <w:sz w:val="28"/>
          <w:szCs w:val="28"/>
          <w:shd w:val="clear" w:fill="FFFFFF"/>
        </w:rPr>
        <w:t xml:space="preserve">第一部分  </w:t>
      </w:r>
      <w:r>
        <w:rPr>
          <w:rStyle w:val="8"/>
          <w:rFonts w:hint="eastAsia" w:ascii="宋体" w:hAnsi="宋体" w:eastAsia="宋体" w:cs="宋体"/>
          <w:i w:val="0"/>
          <w:iCs w:val="0"/>
          <w:caps w:val="0"/>
          <w:color w:val="333333"/>
          <w:spacing w:val="0"/>
          <w:sz w:val="28"/>
          <w:szCs w:val="28"/>
          <w:shd w:val="clear" w:fill="FFFFFF"/>
          <w:lang w:eastAsia="zh-CN"/>
        </w:rPr>
        <w:t>单位</w:t>
      </w:r>
      <w:r>
        <w:rPr>
          <w:rStyle w:val="8"/>
          <w:rFonts w:hint="eastAsia" w:ascii="宋体" w:hAnsi="宋体" w:eastAsia="宋体" w:cs="宋体"/>
          <w:i w:val="0"/>
          <w:iCs w:val="0"/>
          <w:caps w:val="0"/>
          <w:color w:val="333333"/>
          <w:spacing w:val="0"/>
          <w:sz w:val="28"/>
          <w:szCs w:val="28"/>
          <w:shd w:val="clear" w:fill="FFFFFF"/>
        </w:rPr>
        <w:t>概况</w:t>
      </w:r>
    </w:p>
    <w:p w14:paraId="0C116B5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center"/>
        <w:rPr>
          <w:rFonts w:hint="eastAsia" w:ascii="宋体" w:hAnsi="宋体" w:eastAsia="宋体" w:cs="宋体"/>
          <w:sz w:val="28"/>
          <w:szCs w:val="28"/>
        </w:rPr>
      </w:pPr>
      <w:r>
        <w:rPr>
          <w:rStyle w:val="8"/>
          <w:rFonts w:hint="eastAsia" w:ascii="宋体" w:hAnsi="宋体" w:eastAsia="宋体" w:cs="宋体"/>
          <w:i w:val="0"/>
          <w:iCs w:val="0"/>
          <w:caps w:val="0"/>
          <w:color w:val="333333"/>
          <w:spacing w:val="0"/>
          <w:sz w:val="28"/>
          <w:szCs w:val="28"/>
          <w:shd w:val="clear" w:fill="FFFFFF"/>
        </w:rPr>
        <w:t> </w:t>
      </w:r>
    </w:p>
    <w:p w14:paraId="0DC303E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b/>
          <w:bCs/>
          <w:sz w:val="28"/>
          <w:szCs w:val="28"/>
          <w:lang w:eastAsia="zh-CN"/>
        </w:rPr>
      </w:pPr>
      <w:r>
        <w:rPr>
          <w:rFonts w:hint="eastAsia" w:ascii="宋体" w:hAnsi="宋体" w:eastAsia="宋体" w:cs="宋体"/>
          <w:b/>
          <w:bCs/>
          <w:i w:val="0"/>
          <w:iCs w:val="0"/>
          <w:caps w:val="0"/>
          <w:color w:val="333333"/>
          <w:spacing w:val="0"/>
          <w:sz w:val="28"/>
          <w:szCs w:val="28"/>
          <w:shd w:val="clear" w:fill="FFFFFF"/>
        </w:rPr>
        <w:t>一、主要职能</w:t>
      </w:r>
      <w:r>
        <w:rPr>
          <w:rFonts w:hint="eastAsia" w:ascii="宋体" w:hAnsi="宋体" w:eastAsia="宋体" w:cs="宋体"/>
          <w:b/>
          <w:bCs/>
          <w:i w:val="0"/>
          <w:iCs w:val="0"/>
          <w:caps w:val="0"/>
          <w:color w:val="333333"/>
          <w:spacing w:val="0"/>
          <w:sz w:val="28"/>
          <w:szCs w:val="28"/>
          <w:shd w:val="clear" w:fill="FFFFFF"/>
          <w:lang w:eastAsia="zh-CN"/>
        </w:rPr>
        <w:t>职责</w:t>
      </w:r>
    </w:p>
    <w:p w14:paraId="26DFAFE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316" w:right="0" w:firstLine="315"/>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内蒙古自治区无线电监测站乌兰察布市分站是自治区无线电监测站的分支机构。负责管理本行政辖区内的无线电监测及干扰查处工作。</w:t>
      </w:r>
    </w:p>
    <w:p w14:paraId="0D082E27">
      <w:pPr>
        <w:keepNext w:val="0"/>
        <w:keepLines w:val="0"/>
        <w:widowControl/>
        <w:suppressLineNumbers w:val="0"/>
        <w:ind w:left="0" w:leftChars="0" w:firstLine="641" w:firstLineChars="228"/>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 xml:space="preserve">二、机构设置及预算单位构成情况 </w:t>
      </w:r>
    </w:p>
    <w:p w14:paraId="2E7AFDB3">
      <w:pPr>
        <w:keepNext w:val="0"/>
        <w:keepLines w:val="0"/>
        <w:widowControl/>
        <w:suppressLineNumbers w:val="0"/>
        <w:ind w:left="0" w:leftChars="0" w:firstLine="638" w:firstLineChars="228"/>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1．根据单位职责分工，本单位无内设机构。本单位无下属单位。 </w:t>
      </w:r>
    </w:p>
    <w:p w14:paraId="01CC04F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2．从预算单位构成看，纳入本单位2025年部门汇总预算编制范围的预算单位共计1家，具体包括： 内蒙古自治区无线电监测站乌兰察布市分站为公益一类事业单位。详细情况见表：</w:t>
      </w:r>
    </w:p>
    <w:p w14:paraId="7044CA10">
      <w:pPr>
        <w:snapToGrid w:val="0"/>
        <w:jc w:val="center"/>
        <w:rPr>
          <w:rFonts w:hint="eastAsia" w:eastAsia="仿宋_GB2312"/>
          <w:b/>
          <w:sz w:val="32"/>
          <w:szCs w:val="32"/>
        </w:rPr>
      </w:pPr>
    </w:p>
    <w:tbl>
      <w:tblPr>
        <w:tblStyle w:val="6"/>
        <w:tblW w:w="8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4002"/>
        <w:gridCol w:w="3104"/>
      </w:tblGrid>
      <w:tr w14:paraId="3B77E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3" w:type="dxa"/>
            <w:noWrap w:val="0"/>
            <w:vAlign w:val="center"/>
          </w:tcPr>
          <w:p w14:paraId="1332E0AD">
            <w:pPr>
              <w:widowControl/>
              <w:jc w:val="center"/>
              <w:rPr>
                <w:rFonts w:hint="eastAsia" w:ascii="仿宋_GB2312" w:eastAsia="仿宋_GB2312"/>
                <w:color w:val="000000"/>
                <w:kern w:val="0"/>
                <w:sz w:val="32"/>
                <w:szCs w:val="32"/>
              </w:rPr>
            </w:pPr>
            <w:r>
              <w:rPr>
                <w:rFonts w:hint="eastAsia" w:ascii="仿宋_GB2312" w:hAnsi="黑体" w:eastAsia="仿宋_GB2312" w:cs="宋体"/>
                <w:bCs/>
                <w:color w:val="000000"/>
                <w:kern w:val="0"/>
                <w:sz w:val="32"/>
                <w:szCs w:val="32"/>
              </w:rPr>
              <w:t>序号</w:t>
            </w:r>
          </w:p>
        </w:tc>
        <w:tc>
          <w:tcPr>
            <w:tcW w:w="4002" w:type="dxa"/>
            <w:noWrap w:val="0"/>
            <w:vAlign w:val="center"/>
          </w:tcPr>
          <w:p w14:paraId="46F671F9">
            <w:pPr>
              <w:widowControl/>
              <w:jc w:val="center"/>
              <w:rPr>
                <w:rFonts w:hint="eastAsia" w:ascii="仿宋_GB2312" w:eastAsia="仿宋_GB2312"/>
                <w:bCs/>
                <w:color w:val="000000"/>
                <w:kern w:val="0"/>
                <w:sz w:val="32"/>
                <w:szCs w:val="32"/>
              </w:rPr>
            </w:pPr>
            <w:r>
              <w:rPr>
                <w:rFonts w:hint="eastAsia" w:ascii="仿宋_GB2312" w:hAnsi="黑体" w:eastAsia="仿宋_GB2312" w:cs="宋体"/>
                <w:bCs/>
                <w:color w:val="000000"/>
                <w:kern w:val="0"/>
                <w:sz w:val="32"/>
                <w:szCs w:val="32"/>
              </w:rPr>
              <w:t>单位名称</w:t>
            </w:r>
          </w:p>
        </w:tc>
        <w:tc>
          <w:tcPr>
            <w:tcW w:w="3104" w:type="dxa"/>
            <w:noWrap/>
            <w:vAlign w:val="center"/>
          </w:tcPr>
          <w:p w14:paraId="5CB7A97C">
            <w:pPr>
              <w:widowControl/>
              <w:jc w:val="center"/>
              <w:rPr>
                <w:rFonts w:hint="eastAsia" w:ascii="仿宋_GB2312" w:eastAsia="仿宋_GB2312"/>
                <w:color w:val="000000"/>
                <w:kern w:val="0"/>
                <w:sz w:val="32"/>
                <w:szCs w:val="32"/>
              </w:rPr>
            </w:pPr>
            <w:r>
              <w:rPr>
                <w:rFonts w:hint="eastAsia" w:ascii="仿宋_GB2312" w:eastAsia="仿宋_GB2312"/>
                <w:color w:val="000000"/>
                <w:kern w:val="0"/>
                <w:sz w:val="32"/>
                <w:szCs w:val="32"/>
              </w:rPr>
              <w:t>单位性质</w:t>
            </w:r>
          </w:p>
        </w:tc>
      </w:tr>
      <w:tr w14:paraId="3236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3" w:type="dxa"/>
            <w:noWrap w:val="0"/>
            <w:vAlign w:val="center"/>
          </w:tcPr>
          <w:p w14:paraId="11B63458">
            <w:pPr>
              <w:widowControl/>
              <w:jc w:val="center"/>
              <w:rPr>
                <w:rFonts w:hint="eastAsia" w:ascii="仿宋_GB2312" w:eastAsia="仿宋_GB2312"/>
                <w:color w:val="000000"/>
                <w:kern w:val="0"/>
                <w:sz w:val="32"/>
                <w:szCs w:val="32"/>
              </w:rPr>
            </w:pPr>
            <w:r>
              <w:rPr>
                <w:rFonts w:hint="eastAsia" w:ascii="仿宋_GB2312" w:eastAsia="仿宋_GB2312"/>
                <w:color w:val="000000"/>
                <w:kern w:val="0"/>
                <w:sz w:val="32"/>
                <w:szCs w:val="32"/>
              </w:rPr>
              <w:t>1</w:t>
            </w:r>
          </w:p>
        </w:tc>
        <w:tc>
          <w:tcPr>
            <w:tcW w:w="4002" w:type="dxa"/>
            <w:noWrap w:val="0"/>
            <w:vAlign w:val="center"/>
          </w:tcPr>
          <w:p w14:paraId="512397A3">
            <w:pPr>
              <w:widowControl/>
              <w:rPr>
                <w:rFonts w:hint="eastAsia" w:ascii="宋体" w:hAnsi="宋体" w:eastAsia="宋体" w:cs="宋体"/>
                <w:color w:val="000000"/>
                <w:kern w:val="0"/>
                <w:sz w:val="28"/>
                <w:szCs w:val="28"/>
                <w:lang w:eastAsia="zh-CN"/>
              </w:rPr>
            </w:pPr>
            <w:r>
              <w:rPr>
                <w:rFonts w:hint="eastAsia" w:ascii="宋体" w:hAnsi="宋体" w:eastAsia="宋体" w:cs="宋体"/>
                <w:sz w:val="28"/>
                <w:szCs w:val="28"/>
              </w:rPr>
              <w:t>内蒙古自治区</w:t>
            </w:r>
            <w:r>
              <w:rPr>
                <w:rFonts w:hint="eastAsia" w:ascii="宋体" w:hAnsi="宋体" w:eastAsia="宋体" w:cs="宋体"/>
                <w:sz w:val="28"/>
                <w:szCs w:val="28"/>
                <w:lang w:eastAsia="zh-CN"/>
              </w:rPr>
              <w:t>无线电监测站乌兰察布市分站</w:t>
            </w:r>
          </w:p>
        </w:tc>
        <w:tc>
          <w:tcPr>
            <w:tcW w:w="3104" w:type="dxa"/>
            <w:noWrap/>
            <w:vAlign w:val="center"/>
          </w:tcPr>
          <w:p w14:paraId="46A4E653">
            <w:pPr>
              <w:widowControl/>
              <w:jc w:val="center"/>
              <w:rPr>
                <w:rFonts w:hint="eastAsia" w:ascii="宋体" w:hAnsi="宋体" w:eastAsia="宋体" w:cs="宋体"/>
                <w:color w:val="000000"/>
                <w:kern w:val="0"/>
                <w:sz w:val="28"/>
                <w:szCs w:val="28"/>
                <w:lang w:eastAsia="zh-CN"/>
              </w:rPr>
            </w:pPr>
            <w:r>
              <w:rPr>
                <w:rFonts w:hint="eastAsia" w:ascii="宋体" w:hAnsi="宋体" w:eastAsia="宋体" w:cs="宋体"/>
                <w:color w:val="000000"/>
                <w:kern w:val="0"/>
                <w:sz w:val="28"/>
                <w:szCs w:val="28"/>
                <w:lang w:eastAsia="zh-CN"/>
              </w:rPr>
              <w:t>公益一类事业单位</w:t>
            </w:r>
          </w:p>
        </w:tc>
      </w:tr>
      <w:tr w14:paraId="11BD0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3" w:type="dxa"/>
            <w:noWrap w:val="0"/>
            <w:vAlign w:val="center"/>
          </w:tcPr>
          <w:p w14:paraId="095E281E">
            <w:pPr>
              <w:widowControl/>
              <w:jc w:val="center"/>
              <w:rPr>
                <w:rFonts w:hint="eastAsia" w:ascii="仿宋_GB2312" w:eastAsia="仿宋_GB2312"/>
                <w:color w:val="000000"/>
                <w:kern w:val="0"/>
                <w:sz w:val="32"/>
                <w:szCs w:val="32"/>
              </w:rPr>
            </w:pPr>
          </w:p>
        </w:tc>
        <w:tc>
          <w:tcPr>
            <w:tcW w:w="4002" w:type="dxa"/>
            <w:noWrap w:val="0"/>
            <w:vAlign w:val="center"/>
          </w:tcPr>
          <w:p w14:paraId="2927F796">
            <w:pPr>
              <w:widowControl/>
              <w:rPr>
                <w:rFonts w:hint="eastAsia" w:ascii="仿宋_GB2312" w:eastAsia="仿宋_GB2312"/>
                <w:color w:val="000000"/>
                <w:kern w:val="0"/>
                <w:sz w:val="32"/>
                <w:szCs w:val="32"/>
              </w:rPr>
            </w:pPr>
          </w:p>
        </w:tc>
        <w:tc>
          <w:tcPr>
            <w:tcW w:w="3104" w:type="dxa"/>
            <w:noWrap/>
            <w:vAlign w:val="center"/>
          </w:tcPr>
          <w:p w14:paraId="44A72A0B">
            <w:pPr>
              <w:widowControl/>
              <w:jc w:val="center"/>
              <w:rPr>
                <w:rFonts w:hint="eastAsia" w:ascii="仿宋_GB2312" w:eastAsia="仿宋_GB2312"/>
                <w:color w:val="000000"/>
                <w:kern w:val="0"/>
                <w:sz w:val="32"/>
                <w:szCs w:val="32"/>
              </w:rPr>
            </w:pPr>
          </w:p>
        </w:tc>
      </w:tr>
      <w:tr w14:paraId="3EB61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3" w:type="dxa"/>
            <w:noWrap w:val="0"/>
            <w:vAlign w:val="center"/>
          </w:tcPr>
          <w:p w14:paraId="7033BDD1">
            <w:pPr>
              <w:widowControl/>
              <w:jc w:val="center"/>
              <w:rPr>
                <w:rFonts w:hint="eastAsia" w:ascii="仿宋_GB2312" w:eastAsia="仿宋_GB2312"/>
                <w:color w:val="000000"/>
                <w:kern w:val="0"/>
                <w:sz w:val="32"/>
                <w:szCs w:val="32"/>
              </w:rPr>
            </w:pPr>
          </w:p>
        </w:tc>
        <w:tc>
          <w:tcPr>
            <w:tcW w:w="4002" w:type="dxa"/>
            <w:noWrap w:val="0"/>
            <w:vAlign w:val="center"/>
          </w:tcPr>
          <w:p w14:paraId="64D1CFA3">
            <w:pPr>
              <w:widowControl/>
              <w:rPr>
                <w:rFonts w:hint="eastAsia" w:ascii="仿宋_GB2312" w:eastAsia="仿宋_GB2312"/>
                <w:color w:val="000000"/>
                <w:kern w:val="0"/>
                <w:sz w:val="32"/>
                <w:szCs w:val="32"/>
              </w:rPr>
            </w:pPr>
          </w:p>
        </w:tc>
        <w:tc>
          <w:tcPr>
            <w:tcW w:w="3104" w:type="dxa"/>
            <w:noWrap/>
            <w:vAlign w:val="center"/>
          </w:tcPr>
          <w:p w14:paraId="20372C02">
            <w:pPr>
              <w:widowControl/>
              <w:jc w:val="center"/>
              <w:rPr>
                <w:rFonts w:hint="eastAsia" w:ascii="仿宋_GB2312" w:eastAsia="仿宋_GB2312"/>
                <w:color w:val="000000"/>
                <w:kern w:val="0"/>
                <w:sz w:val="32"/>
                <w:szCs w:val="32"/>
              </w:rPr>
            </w:pPr>
          </w:p>
        </w:tc>
      </w:tr>
    </w:tbl>
    <w:p w14:paraId="5E378F1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i w:val="0"/>
          <w:iCs w:val="0"/>
          <w:caps w:val="0"/>
          <w:color w:val="333333"/>
          <w:spacing w:val="0"/>
          <w:sz w:val="28"/>
          <w:szCs w:val="28"/>
          <w:shd w:val="clear" w:fill="FFFFFF"/>
          <w:lang w:eastAsia="zh-CN"/>
        </w:rPr>
      </w:pPr>
    </w:p>
    <w:p w14:paraId="7D432EC0">
      <w:pPr>
        <w:keepNext w:val="0"/>
        <w:keepLines w:val="0"/>
        <w:widowControl/>
        <w:suppressLineNumbers w:val="0"/>
        <w:ind w:left="0" w:leftChars="0" w:firstLine="641" w:firstLineChars="228"/>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三、2025年度单位主要工作任务及目标</w:t>
      </w:r>
    </w:p>
    <w:p w14:paraId="1F6B7131">
      <w:pPr>
        <w:keepNext w:val="0"/>
        <w:keepLines w:val="0"/>
        <w:widowControl/>
        <w:suppressLineNumbers w:val="0"/>
        <w:ind w:firstLine="560" w:firstLineChars="200"/>
        <w:jc w:val="both"/>
        <w:rPr>
          <w:rFonts w:hint="eastAsia" w:ascii="宋体" w:hAnsi="宋体" w:eastAsia="宋体" w:cs="宋体"/>
          <w:sz w:val="28"/>
          <w:szCs w:val="28"/>
        </w:rPr>
      </w:pPr>
      <w:r>
        <w:rPr>
          <w:rFonts w:hint="eastAsia" w:ascii="宋体" w:hAnsi="宋体" w:eastAsia="宋体" w:cs="宋体"/>
          <w:sz w:val="28"/>
          <w:szCs w:val="28"/>
          <w:lang w:val="en-US" w:eastAsia="zh-CN"/>
        </w:rPr>
        <w:t>在自治区工信厅的正确领导下，在工信厅无线电管理委员会办公室指导下，我站全体干部以党建工作为引领，紧紧围绕无线电管理重点工作任务，协同有关部门进行重大活动无线电安全保障、干扰查处、考试保障等工作，取得积极成效。</w:t>
      </w:r>
    </w:p>
    <w:p w14:paraId="0947B5A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Style w:val="8"/>
          <w:rFonts w:hint="eastAsia" w:ascii="宋体" w:hAnsi="宋体" w:eastAsia="宋体" w:cs="宋体"/>
          <w:b/>
          <w:bCs w:val="0"/>
          <w:i w:val="0"/>
          <w:iCs w:val="0"/>
          <w:caps w:val="0"/>
          <w:color w:val="333333"/>
          <w:spacing w:val="0"/>
          <w:sz w:val="28"/>
          <w:szCs w:val="28"/>
          <w:shd w:val="clear" w:fill="FFFFFF"/>
        </w:rPr>
      </w:pPr>
    </w:p>
    <w:p w14:paraId="314E3D3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宋体" w:hAnsi="宋体" w:eastAsia="宋体" w:cs="宋体"/>
          <w:b/>
          <w:bCs w:val="0"/>
          <w:sz w:val="28"/>
          <w:szCs w:val="28"/>
        </w:rPr>
      </w:pPr>
      <w:r>
        <w:rPr>
          <w:rStyle w:val="8"/>
          <w:rFonts w:hint="eastAsia" w:ascii="宋体" w:hAnsi="宋体" w:eastAsia="宋体" w:cs="宋体"/>
          <w:b/>
          <w:bCs w:val="0"/>
          <w:i w:val="0"/>
          <w:iCs w:val="0"/>
          <w:caps w:val="0"/>
          <w:color w:val="333333"/>
          <w:spacing w:val="0"/>
          <w:sz w:val="28"/>
          <w:szCs w:val="28"/>
          <w:shd w:val="clear" w:fill="FFFFFF"/>
        </w:rPr>
        <w:t>第二部分   202</w:t>
      </w:r>
      <w:r>
        <w:rPr>
          <w:rStyle w:val="8"/>
          <w:rFonts w:hint="eastAsia" w:ascii="宋体" w:hAnsi="宋体" w:eastAsia="宋体" w:cs="宋体"/>
          <w:b/>
          <w:bCs w:val="0"/>
          <w:i w:val="0"/>
          <w:iCs w:val="0"/>
          <w:caps w:val="0"/>
          <w:color w:val="333333"/>
          <w:spacing w:val="0"/>
          <w:sz w:val="28"/>
          <w:szCs w:val="28"/>
          <w:shd w:val="clear" w:fill="FFFFFF"/>
          <w:lang w:val="en-US" w:eastAsia="zh-CN"/>
        </w:rPr>
        <w:t>5</w:t>
      </w:r>
      <w:r>
        <w:rPr>
          <w:rStyle w:val="8"/>
          <w:rFonts w:hint="eastAsia" w:ascii="宋体" w:hAnsi="宋体" w:eastAsia="宋体" w:cs="宋体"/>
          <w:b/>
          <w:bCs w:val="0"/>
          <w:i w:val="0"/>
          <w:iCs w:val="0"/>
          <w:caps w:val="0"/>
          <w:color w:val="333333"/>
          <w:spacing w:val="0"/>
          <w:sz w:val="28"/>
          <w:szCs w:val="28"/>
          <w:shd w:val="clear" w:fill="FFFFFF"/>
        </w:rPr>
        <w:t>年</w:t>
      </w:r>
      <w:r>
        <w:rPr>
          <w:rStyle w:val="8"/>
          <w:rFonts w:hint="eastAsia" w:ascii="宋体" w:hAnsi="宋体" w:eastAsia="宋体" w:cs="宋体"/>
          <w:b/>
          <w:bCs w:val="0"/>
          <w:i w:val="0"/>
          <w:iCs w:val="0"/>
          <w:caps w:val="0"/>
          <w:color w:val="333333"/>
          <w:spacing w:val="0"/>
          <w:sz w:val="28"/>
          <w:szCs w:val="28"/>
          <w:shd w:val="clear" w:fill="FFFFFF"/>
          <w:lang w:eastAsia="zh-CN"/>
        </w:rPr>
        <w:t>单位</w:t>
      </w:r>
      <w:r>
        <w:rPr>
          <w:rStyle w:val="8"/>
          <w:rFonts w:hint="eastAsia" w:ascii="宋体" w:hAnsi="宋体" w:eastAsia="宋体" w:cs="宋体"/>
          <w:b/>
          <w:bCs w:val="0"/>
          <w:i w:val="0"/>
          <w:iCs w:val="0"/>
          <w:caps w:val="0"/>
          <w:color w:val="333333"/>
          <w:spacing w:val="0"/>
          <w:sz w:val="28"/>
          <w:szCs w:val="28"/>
          <w:shd w:val="clear" w:fill="FFFFFF"/>
        </w:rPr>
        <w:t>预算安排情况说明</w:t>
      </w:r>
    </w:p>
    <w:p w14:paraId="6DBC990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FFFFFF"/>
        </w:rPr>
        <w:t> </w:t>
      </w:r>
    </w:p>
    <w:p w14:paraId="3AF9B1A4">
      <w:pPr>
        <w:keepNext w:val="0"/>
        <w:keepLines w:val="0"/>
        <w:widowControl/>
        <w:suppressLineNumbers w:val="0"/>
        <w:ind w:left="0" w:leftChars="0" w:firstLine="641" w:firstLineChars="228"/>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 xml:space="preserve">一、收支预算总体情况说明 </w:t>
      </w:r>
    </w:p>
    <w:p w14:paraId="590836C9">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2025 年度收入、支出预算总计51.01万元，与上年相比收、支预算总计各增加0.73万元，增加1.45%。 其中： </w:t>
      </w:r>
    </w:p>
    <w:p w14:paraId="2BEB9915">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（一）收入预算总计51.01万元。包括： </w:t>
      </w:r>
    </w:p>
    <w:p w14:paraId="79BA03CE">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1．本年收入合计51.01万元。 </w:t>
      </w:r>
    </w:p>
    <w:p w14:paraId="20E4D11B">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（1）一般公共预算拨款收入51.01万元，与上年相比增加0.73万元，增加1.45%。主要原因是正常调资</w:t>
      </w:r>
      <w:r>
        <w:rPr>
          <w:rFonts w:hint="eastAsia" w:ascii="宋体" w:hAnsi="宋体" w:eastAsia="宋体" w:cs="宋体"/>
          <w:i w:val="0"/>
          <w:iCs w:val="0"/>
          <w:caps w:val="0"/>
          <w:color w:val="333333"/>
          <w:spacing w:val="0"/>
          <w:sz w:val="28"/>
          <w:szCs w:val="28"/>
          <w:shd w:val="clear" w:fill="FFFFFF"/>
          <w:lang w:val="en-US" w:eastAsia="zh-CN"/>
        </w:rPr>
        <w:t>，相应工资、社保及公积金缴费增加</w:t>
      </w:r>
      <w:r>
        <w:rPr>
          <w:rFonts w:hint="eastAsia" w:ascii="宋体" w:hAnsi="宋体" w:eastAsia="宋体" w:cs="宋体"/>
          <w:color w:val="000000"/>
          <w:kern w:val="0"/>
          <w:sz w:val="28"/>
          <w:szCs w:val="28"/>
          <w:lang w:val="en-US" w:eastAsia="zh-CN" w:bidi="ar"/>
        </w:rPr>
        <w:t xml:space="preserve">。 </w:t>
      </w:r>
    </w:p>
    <w:p w14:paraId="76F24BEB">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（2）政府性基金预算拨款收入0万元，与上年相比增加 （减少）0 万元，增长（减少）0 %。</w:t>
      </w:r>
    </w:p>
    <w:p w14:paraId="42904562">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（3）国有资本经营预算拨款收入0万元，与上年相比增加（减少）0 万元，增长（减少）0 %。 </w:t>
      </w:r>
    </w:p>
    <w:p w14:paraId="7552F183">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（4）财政专户管理资金收入0万元，与上年相比增加（减少）0万元，增长（减少）0 %。</w:t>
      </w:r>
    </w:p>
    <w:p w14:paraId="3BD8C680">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（5）事业收入0万元，与上年相比增加（减少）0万元，增长（减少）0%。</w:t>
      </w:r>
    </w:p>
    <w:p w14:paraId="3F572D3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（6）事业单位经营收入0万元，与上年相比增加（减少）0万元，增长（减少）0 %。 </w:t>
      </w:r>
    </w:p>
    <w:p w14:paraId="079381FB">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（7）上级补助收入0万元，与上年相比增加（减少）0万元，增长（减少）0%。 </w:t>
      </w:r>
    </w:p>
    <w:p w14:paraId="1F8080A4">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（8）附属单位上缴收入0万元，与上年相比增加（减少）0万元，增长（减少）0%。</w:t>
      </w:r>
    </w:p>
    <w:p w14:paraId="1B34365D">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（9）其他收入0万元，与上年相比增加（减少）0万元，增长（减少）0%。 </w:t>
      </w:r>
    </w:p>
    <w:p w14:paraId="6D93958F">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2．上年结转结余0万元。与上年相比增加（减少）0万元，增长（减少）0%。 </w:t>
      </w:r>
    </w:p>
    <w:p w14:paraId="6AE0FBF1">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（二）支出预算总计51.01万元。包括： </w:t>
      </w:r>
    </w:p>
    <w:p w14:paraId="15ED799B">
      <w:pPr>
        <w:keepNext w:val="0"/>
        <w:keepLines w:val="0"/>
        <w:widowControl/>
        <w:suppressLineNumbers w:val="0"/>
        <w:ind w:left="0" w:leftChars="0" w:firstLine="638" w:firstLineChars="228"/>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1．本年支出合计51.01万元。 </w:t>
      </w:r>
    </w:p>
    <w:p w14:paraId="083E3B4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1</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社会保障和就业支出</w:t>
      </w:r>
      <w:r>
        <w:rPr>
          <w:rFonts w:hint="eastAsia" w:ascii="宋体" w:hAnsi="宋体" w:eastAsia="宋体" w:cs="宋体"/>
          <w:i w:val="0"/>
          <w:iCs w:val="0"/>
          <w:caps w:val="0"/>
          <w:color w:val="333333"/>
          <w:spacing w:val="0"/>
          <w:sz w:val="28"/>
          <w:szCs w:val="28"/>
          <w:shd w:val="clear" w:fill="FFFFFF"/>
          <w:lang w:val="en-US" w:eastAsia="zh-CN"/>
        </w:rPr>
        <w:t>6.33万元，</w:t>
      </w:r>
      <w:r>
        <w:rPr>
          <w:rFonts w:hint="eastAsia" w:ascii="宋体" w:hAnsi="宋体" w:eastAsia="宋体" w:cs="宋体"/>
          <w:i w:val="0"/>
          <w:iCs w:val="0"/>
          <w:caps w:val="0"/>
          <w:color w:val="333333"/>
          <w:spacing w:val="0"/>
          <w:sz w:val="28"/>
          <w:szCs w:val="28"/>
          <w:shd w:val="clear" w:fill="FFFFFF"/>
        </w:rPr>
        <w:t>主要用于在职人员的养老保险、职业年金社保缴纳以及离退休人员的补贴等</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color w:val="000000"/>
          <w:kern w:val="0"/>
          <w:sz w:val="28"/>
          <w:szCs w:val="28"/>
          <w:lang w:val="en-US" w:eastAsia="zh-CN" w:bidi="ar"/>
        </w:rPr>
        <w:t>与上年相比增加0.08万元，增长1.26%。主要原因是正常调资</w:t>
      </w:r>
      <w:r>
        <w:rPr>
          <w:rFonts w:hint="eastAsia" w:ascii="宋体" w:hAnsi="宋体" w:eastAsia="宋体" w:cs="宋体"/>
          <w:i w:val="0"/>
          <w:iCs w:val="0"/>
          <w:caps w:val="0"/>
          <w:color w:val="333333"/>
          <w:spacing w:val="0"/>
          <w:sz w:val="28"/>
          <w:szCs w:val="28"/>
          <w:shd w:val="clear" w:fill="FFFFFF"/>
          <w:lang w:val="en-US" w:eastAsia="zh-CN"/>
        </w:rPr>
        <w:t>，相应社保缴费增加</w:t>
      </w:r>
      <w:r>
        <w:rPr>
          <w:rFonts w:hint="eastAsia" w:ascii="宋体" w:hAnsi="宋体" w:eastAsia="宋体" w:cs="宋体"/>
          <w:i w:val="0"/>
          <w:iCs w:val="0"/>
          <w:caps w:val="0"/>
          <w:color w:val="333333"/>
          <w:spacing w:val="0"/>
          <w:sz w:val="28"/>
          <w:szCs w:val="28"/>
          <w:shd w:val="clear" w:fill="FFFFFF"/>
        </w:rPr>
        <w:t>；</w:t>
      </w:r>
    </w:p>
    <w:p w14:paraId="2573EBC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lang w:val="en-US" w:eastAsia="zh-CN"/>
        </w:rPr>
        <w:t>2</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资源勘探工业信息等支出</w:t>
      </w:r>
      <w:r>
        <w:rPr>
          <w:rFonts w:hint="eastAsia" w:ascii="宋体" w:hAnsi="宋体" w:eastAsia="宋体" w:cs="宋体"/>
          <w:i w:val="0"/>
          <w:iCs w:val="0"/>
          <w:caps w:val="0"/>
          <w:color w:val="333333"/>
          <w:spacing w:val="0"/>
          <w:sz w:val="28"/>
          <w:szCs w:val="28"/>
          <w:shd w:val="clear" w:fill="FFFFFF"/>
          <w:lang w:val="en-US" w:eastAsia="zh-CN"/>
        </w:rPr>
        <w:t>37.61万元，</w:t>
      </w:r>
      <w:r>
        <w:rPr>
          <w:rFonts w:hint="eastAsia" w:ascii="宋体" w:hAnsi="宋体" w:eastAsia="宋体" w:cs="宋体"/>
          <w:i w:val="0"/>
          <w:iCs w:val="0"/>
          <w:caps w:val="0"/>
          <w:color w:val="333333"/>
          <w:spacing w:val="0"/>
          <w:sz w:val="28"/>
          <w:szCs w:val="28"/>
          <w:shd w:val="clear" w:fill="FFFFFF"/>
        </w:rPr>
        <w:t>主要用于</w:t>
      </w:r>
      <w:r>
        <w:rPr>
          <w:rFonts w:hint="eastAsia" w:ascii="宋体" w:hAnsi="宋体" w:eastAsia="宋体" w:cs="宋体"/>
          <w:i w:val="0"/>
          <w:iCs w:val="0"/>
          <w:caps w:val="0"/>
          <w:color w:val="333333"/>
          <w:spacing w:val="0"/>
          <w:sz w:val="28"/>
          <w:szCs w:val="28"/>
          <w:shd w:val="clear" w:fill="FFFFFF"/>
          <w:lang w:eastAsia="zh-CN"/>
        </w:rPr>
        <w:t>人员工资津补贴和业务用房</w:t>
      </w:r>
      <w:r>
        <w:rPr>
          <w:rFonts w:hint="eastAsia" w:ascii="宋体" w:hAnsi="宋体" w:eastAsia="宋体" w:cs="宋体"/>
          <w:i w:val="0"/>
          <w:iCs w:val="0"/>
          <w:caps w:val="0"/>
          <w:color w:val="333333"/>
          <w:spacing w:val="0"/>
          <w:sz w:val="28"/>
          <w:szCs w:val="28"/>
          <w:shd w:val="clear" w:fill="FFFFFF"/>
        </w:rPr>
        <w:t>及附属设施运行维护、无线电监管等支出</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color w:val="000000"/>
          <w:kern w:val="0"/>
          <w:sz w:val="28"/>
          <w:szCs w:val="28"/>
          <w:lang w:val="en-US" w:eastAsia="zh-CN" w:bidi="ar"/>
        </w:rPr>
        <w:t>与上年相比增加0.56万元，增长1.49%。主要原因是正常调资</w:t>
      </w:r>
      <w:r>
        <w:rPr>
          <w:rFonts w:hint="eastAsia" w:ascii="宋体" w:hAnsi="宋体" w:eastAsia="宋体" w:cs="宋体"/>
          <w:i w:val="0"/>
          <w:iCs w:val="0"/>
          <w:caps w:val="0"/>
          <w:color w:val="333333"/>
          <w:spacing w:val="0"/>
          <w:sz w:val="28"/>
          <w:szCs w:val="28"/>
          <w:shd w:val="clear" w:fill="FFFFFF"/>
          <w:lang w:val="en-US" w:eastAsia="zh-CN"/>
        </w:rPr>
        <w:t>，相应工资津补贴增加</w:t>
      </w:r>
      <w:r>
        <w:rPr>
          <w:rFonts w:hint="eastAsia" w:ascii="宋体" w:hAnsi="宋体" w:eastAsia="宋体" w:cs="宋体"/>
          <w:i w:val="0"/>
          <w:iCs w:val="0"/>
          <w:caps w:val="0"/>
          <w:color w:val="333333"/>
          <w:spacing w:val="0"/>
          <w:sz w:val="28"/>
          <w:szCs w:val="28"/>
          <w:shd w:val="clear" w:fill="FFFFFF"/>
        </w:rPr>
        <w:t>；</w:t>
      </w:r>
    </w:p>
    <w:p w14:paraId="285941B7">
      <w:pPr>
        <w:widowControl/>
        <w:spacing w:before="240" w:after="240"/>
        <w:ind w:firstLine="560" w:firstLineChars="20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lang w:val="en-US" w:eastAsia="zh-CN"/>
        </w:rPr>
        <w:t>3</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卫生健康支出类</w:t>
      </w:r>
      <w:r>
        <w:rPr>
          <w:rFonts w:hint="eastAsia" w:ascii="宋体" w:hAnsi="宋体" w:eastAsia="宋体" w:cs="宋体"/>
          <w:i w:val="0"/>
          <w:iCs w:val="0"/>
          <w:caps w:val="0"/>
          <w:color w:val="333333"/>
          <w:spacing w:val="0"/>
          <w:sz w:val="28"/>
          <w:szCs w:val="28"/>
          <w:shd w:val="clear" w:fill="FFFFFF"/>
          <w:lang w:val="en-US" w:eastAsia="zh-CN"/>
        </w:rPr>
        <w:t>3.06万元，</w:t>
      </w:r>
      <w:r>
        <w:rPr>
          <w:rFonts w:hint="eastAsia" w:ascii="宋体" w:hAnsi="宋体" w:eastAsia="宋体" w:cs="宋体"/>
          <w:i w:val="0"/>
          <w:iCs w:val="0"/>
          <w:caps w:val="0"/>
          <w:color w:val="333333"/>
          <w:spacing w:val="0"/>
          <w:sz w:val="28"/>
          <w:szCs w:val="28"/>
          <w:shd w:val="clear" w:fill="FFFFFF"/>
        </w:rPr>
        <w:t>主要用于缴纳医疗保险、公务员医疗补贴等支出</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color w:val="000000"/>
          <w:kern w:val="0"/>
          <w:sz w:val="28"/>
          <w:szCs w:val="28"/>
          <w:lang w:val="en-US" w:eastAsia="zh-CN" w:bidi="ar"/>
        </w:rPr>
        <w:t>与上年相比增加0.04万元，增长1.31%。主要原因是正常调资</w:t>
      </w:r>
      <w:r>
        <w:rPr>
          <w:rFonts w:hint="eastAsia" w:ascii="宋体" w:hAnsi="宋体" w:eastAsia="宋体" w:cs="宋体"/>
          <w:i w:val="0"/>
          <w:iCs w:val="0"/>
          <w:caps w:val="0"/>
          <w:color w:val="333333"/>
          <w:spacing w:val="0"/>
          <w:sz w:val="28"/>
          <w:szCs w:val="28"/>
          <w:shd w:val="clear" w:fill="FFFFFF"/>
          <w:lang w:val="en-US" w:eastAsia="zh-CN"/>
        </w:rPr>
        <w:t>，相应医疗保险缴费增加</w:t>
      </w:r>
      <w:r>
        <w:rPr>
          <w:rFonts w:hint="eastAsia" w:ascii="宋体" w:hAnsi="宋体" w:eastAsia="宋体" w:cs="宋体"/>
          <w:i w:val="0"/>
          <w:iCs w:val="0"/>
          <w:caps w:val="0"/>
          <w:color w:val="333333"/>
          <w:spacing w:val="0"/>
          <w:sz w:val="28"/>
          <w:szCs w:val="28"/>
          <w:shd w:val="clear" w:fill="FFFFFF"/>
        </w:rPr>
        <w:t>；</w:t>
      </w:r>
    </w:p>
    <w:p w14:paraId="23681AD2">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lang w:val="en-US" w:eastAsia="zh-CN"/>
        </w:rPr>
        <w:t>4</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住房保障类</w:t>
      </w:r>
      <w:r>
        <w:rPr>
          <w:rFonts w:hint="eastAsia" w:ascii="宋体" w:hAnsi="宋体" w:eastAsia="宋体" w:cs="宋体"/>
          <w:i w:val="0"/>
          <w:iCs w:val="0"/>
          <w:caps w:val="0"/>
          <w:color w:val="333333"/>
          <w:spacing w:val="0"/>
          <w:sz w:val="28"/>
          <w:szCs w:val="28"/>
          <w:shd w:val="clear" w:fill="FFFFFF"/>
          <w:lang w:val="en-US" w:eastAsia="zh-CN"/>
        </w:rPr>
        <w:t>4.01万元，</w:t>
      </w:r>
      <w:r>
        <w:rPr>
          <w:rFonts w:hint="eastAsia" w:ascii="宋体" w:hAnsi="宋体" w:eastAsia="宋体" w:cs="宋体"/>
          <w:i w:val="0"/>
          <w:iCs w:val="0"/>
          <w:caps w:val="0"/>
          <w:color w:val="333333"/>
          <w:spacing w:val="0"/>
          <w:sz w:val="28"/>
          <w:szCs w:val="28"/>
          <w:shd w:val="clear" w:fill="FFFFFF"/>
        </w:rPr>
        <w:t>主要用于缴纳在职人员住房公积金单位部分</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color w:val="000000"/>
          <w:kern w:val="0"/>
          <w:sz w:val="28"/>
          <w:szCs w:val="28"/>
          <w:lang w:val="en-US" w:eastAsia="zh-CN" w:bidi="ar"/>
        </w:rPr>
        <w:t>与上年相比增加0.04万元，增长1.00%。主要原因是正常调资</w:t>
      </w:r>
      <w:r>
        <w:rPr>
          <w:rFonts w:hint="eastAsia" w:ascii="宋体" w:hAnsi="宋体" w:eastAsia="宋体" w:cs="宋体"/>
          <w:i w:val="0"/>
          <w:iCs w:val="0"/>
          <w:caps w:val="0"/>
          <w:color w:val="333333"/>
          <w:spacing w:val="0"/>
          <w:sz w:val="28"/>
          <w:szCs w:val="28"/>
          <w:shd w:val="clear" w:fill="FFFFFF"/>
          <w:lang w:val="en-US" w:eastAsia="zh-CN"/>
        </w:rPr>
        <w:t>，相应住房公积金缴费增加</w:t>
      </w:r>
      <w:r>
        <w:rPr>
          <w:rFonts w:hint="eastAsia" w:ascii="宋体" w:hAnsi="宋体" w:eastAsia="宋体" w:cs="宋体"/>
          <w:i w:val="0"/>
          <w:iCs w:val="0"/>
          <w:caps w:val="0"/>
          <w:color w:val="333333"/>
          <w:spacing w:val="0"/>
          <w:sz w:val="28"/>
          <w:szCs w:val="28"/>
          <w:shd w:val="clear" w:fill="FFFFFF"/>
        </w:rPr>
        <w:t>。</w:t>
      </w:r>
    </w:p>
    <w:p w14:paraId="472DD9A1">
      <w:pPr>
        <w:keepNext w:val="0"/>
        <w:keepLines w:val="0"/>
        <w:widowControl/>
        <w:suppressLineNumbers w:val="0"/>
        <w:ind w:left="0" w:leftChars="0" w:firstLine="638" w:firstLineChars="228"/>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2．年终结转结余0万元。</w:t>
      </w:r>
    </w:p>
    <w:p w14:paraId="015AC11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eastAsia" w:ascii="宋体" w:hAnsi="宋体" w:eastAsia="宋体" w:cs="宋体"/>
          <w:b/>
          <w:bCs/>
          <w:sz w:val="28"/>
          <w:szCs w:val="28"/>
        </w:rPr>
      </w:pPr>
      <w:r>
        <w:rPr>
          <w:rFonts w:hint="eastAsia" w:ascii="宋体" w:hAnsi="宋体" w:eastAsia="宋体" w:cs="宋体"/>
          <w:b/>
          <w:bCs/>
          <w:i w:val="0"/>
          <w:iCs w:val="0"/>
          <w:caps w:val="0"/>
          <w:color w:val="000000"/>
          <w:spacing w:val="0"/>
          <w:sz w:val="28"/>
          <w:szCs w:val="28"/>
          <w:shd w:val="clear" w:fill="FFFFFF"/>
        </w:rPr>
        <w:t>二、一般公共预算财政拨款收支情况说明</w:t>
      </w:r>
    </w:p>
    <w:p w14:paraId="301544F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right="0" w:firstLine="560" w:firstLineChars="200"/>
        <w:jc w:val="left"/>
        <w:rPr>
          <w:rFonts w:hint="eastAsia" w:ascii="宋体" w:hAnsi="宋体" w:eastAsia="宋体" w:cs="宋体"/>
          <w:i w:val="0"/>
          <w:iCs w:val="0"/>
          <w:caps w:val="0"/>
          <w:color w:val="333333"/>
          <w:spacing w:val="0"/>
          <w:sz w:val="28"/>
          <w:szCs w:val="28"/>
          <w:shd w:val="clear" w:fill="FFFFFF"/>
          <w:lang w:eastAsia="zh-CN"/>
        </w:rPr>
      </w:pPr>
      <w:r>
        <w:rPr>
          <w:rFonts w:hint="eastAsia" w:ascii="宋体" w:hAnsi="宋体" w:eastAsia="宋体" w:cs="宋体"/>
          <w:i w:val="0"/>
          <w:iCs w:val="0"/>
          <w:caps w:val="0"/>
          <w:color w:val="333333"/>
          <w:spacing w:val="0"/>
          <w:sz w:val="28"/>
          <w:szCs w:val="28"/>
          <w:shd w:val="clear" w:fill="FFFFFF"/>
          <w:lang w:val="en-US" w:eastAsia="zh-CN"/>
        </w:rPr>
        <w:t>2025年度收入预算总计51.01元，包括本年收入51.01</w:t>
      </w:r>
      <w:r>
        <w:rPr>
          <w:rFonts w:hint="eastAsia" w:ascii="宋体" w:hAnsi="宋体" w:eastAsia="宋体" w:cs="宋体"/>
          <w:i w:val="0"/>
          <w:iCs w:val="0"/>
          <w:caps w:val="0"/>
          <w:color w:val="333333"/>
          <w:spacing w:val="0"/>
          <w:sz w:val="28"/>
          <w:szCs w:val="28"/>
          <w:shd w:val="clear" w:fill="FFFFFF"/>
        </w:rPr>
        <w:t>万元，上年结转</w:t>
      </w:r>
      <w:r>
        <w:rPr>
          <w:rFonts w:hint="eastAsia" w:ascii="宋体" w:hAnsi="宋体" w:eastAsia="宋体" w:cs="宋体"/>
          <w:i w:val="0"/>
          <w:iCs w:val="0"/>
          <w:caps w:val="0"/>
          <w:color w:val="333333"/>
          <w:spacing w:val="0"/>
          <w:sz w:val="28"/>
          <w:szCs w:val="28"/>
          <w:shd w:val="clear" w:fill="FFFFFF"/>
          <w:lang w:val="en-US" w:eastAsia="zh-CN"/>
        </w:rPr>
        <w:t>0</w:t>
      </w:r>
      <w:r>
        <w:rPr>
          <w:rFonts w:hint="eastAsia" w:ascii="宋体" w:hAnsi="宋体" w:eastAsia="宋体" w:cs="宋体"/>
          <w:i w:val="0"/>
          <w:iCs w:val="0"/>
          <w:caps w:val="0"/>
          <w:color w:val="333333"/>
          <w:spacing w:val="0"/>
          <w:sz w:val="28"/>
          <w:szCs w:val="28"/>
          <w:shd w:val="clear" w:fill="FFFFFF"/>
        </w:rPr>
        <w:t>万元</w:t>
      </w:r>
      <w:r>
        <w:rPr>
          <w:rFonts w:hint="eastAsia" w:ascii="宋体" w:hAnsi="宋体" w:eastAsia="宋体" w:cs="宋体"/>
          <w:i w:val="0"/>
          <w:iCs w:val="0"/>
          <w:caps w:val="0"/>
          <w:color w:val="333333"/>
          <w:spacing w:val="0"/>
          <w:sz w:val="28"/>
          <w:szCs w:val="28"/>
          <w:shd w:val="clear" w:fill="FFFFFF"/>
          <w:lang w:eastAsia="zh-CN"/>
        </w:rPr>
        <w:t>。其中：</w:t>
      </w:r>
    </w:p>
    <w:p w14:paraId="081C942F">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本年一般公共预算收入51.01万元，占100%； </w:t>
      </w:r>
    </w:p>
    <w:p w14:paraId="3AD86C2C">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本年政府性基金预算收入0万元，占0%； </w:t>
      </w:r>
    </w:p>
    <w:p w14:paraId="2EDA2702">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本年国有资本经营预算收入0万元，占0%； </w:t>
      </w:r>
    </w:p>
    <w:p w14:paraId="5AACFBF8">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本年财政专户管理资金0万元，占0%； </w:t>
      </w:r>
    </w:p>
    <w:p w14:paraId="6E7F0E02">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本年事业收入0万元，占0%； </w:t>
      </w:r>
    </w:p>
    <w:p w14:paraId="21AB68A0">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本年事业单位经营收入0万元，占0%； </w:t>
      </w:r>
    </w:p>
    <w:p w14:paraId="44D72420">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本年上级补助收入0万元，占0%； </w:t>
      </w:r>
    </w:p>
    <w:p w14:paraId="3E251480">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本年附属单位上缴收入0万元，占0%； </w:t>
      </w:r>
    </w:p>
    <w:p w14:paraId="5ECCECE5">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本年其他收入0万元，占0%； </w:t>
      </w:r>
    </w:p>
    <w:p w14:paraId="52121DC1">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上年结转结余的一般公共预算收入0万元，占0%； </w:t>
      </w:r>
    </w:p>
    <w:p w14:paraId="7DFF5594">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上年结转结余的政府性基金预算收入0万元，占0%； </w:t>
      </w:r>
    </w:p>
    <w:p w14:paraId="213BE876">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上年结转结余的国有资本经营预算收入0万元，占0%； </w:t>
      </w:r>
    </w:p>
    <w:p w14:paraId="1377A0B3">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上年结转结余的财政专户管理资金0万元，占0%； </w:t>
      </w:r>
    </w:p>
    <w:p w14:paraId="0B429ED2">
      <w:pPr>
        <w:keepNext w:val="0"/>
        <w:keepLines w:val="0"/>
        <w:widowControl/>
        <w:suppressLineNumbers w:val="0"/>
        <w:ind w:firstLine="56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上年结转结余的单位资金0万元，占0%。 </w:t>
      </w:r>
    </w:p>
    <w:p w14:paraId="78173F95">
      <w:pPr>
        <w:keepNext w:val="0"/>
        <w:keepLines w:val="0"/>
        <w:widowControl/>
        <w:suppressLineNumbers w:val="0"/>
        <w:ind w:firstLine="420" w:firstLineChars="200"/>
        <w:jc w:val="left"/>
        <w:rPr>
          <w:rFonts w:hint="eastAsia" w:ascii="宋体" w:hAnsi="宋体" w:eastAsia="宋体" w:cs="宋体"/>
          <w:i w:val="0"/>
          <w:iCs w:val="0"/>
          <w:caps w:val="0"/>
          <w:color w:val="333333"/>
          <w:spacing w:val="0"/>
          <w:kern w:val="0"/>
          <w:sz w:val="28"/>
          <w:szCs w:val="28"/>
          <w:shd w:val="clear" w:fill="FFFFFF"/>
          <w:lang w:val="en-US" w:eastAsia="zh-CN" w:bidi="ar"/>
        </w:rPr>
      </w:pPr>
      <w:r>
        <w:drawing>
          <wp:inline distT="0" distB="0" distL="114300" distR="114300">
            <wp:extent cx="4797425" cy="2571750"/>
            <wp:effectExtent l="4445" t="4445" r="17780" b="14605"/>
            <wp:docPr id="2" name="图表 1"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14:paraId="6A6D3A7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646" w:right="0"/>
        <w:jc w:val="left"/>
        <w:rPr>
          <w:rFonts w:hint="eastAsia" w:ascii="宋体" w:hAnsi="宋体" w:eastAsia="宋体" w:cs="宋体"/>
          <w:i w:val="0"/>
          <w:iCs w:val="0"/>
          <w:caps w:val="0"/>
          <w:color w:val="333333"/>
          <w:spacing w:val="0"/>
          <w:sz w:val="28"/>
          <w:szCs w:val="28"/>
          <w:shd w:val="clear" w:fill="FFFFFF"/>
          <w:lang w:val="en-US" w:eastAsia="zh-CN"/>
        </w:rPr>
      </w:pPr>
    </w:p>
    <w:p w14:paraId="58C87B26">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三、支出预算情况说明</w:t>
      </w:r>
      <w:r>
        <w:rPr>
          <w:rFonts w:hint="eastAsia" w:ascii="宋体" w:hAnsi="宋体" w:eastAsia="宋体" w:cs="宋体"/>
          <w:color w:val="000000"/>
          <w:kern w:val="0"/>
          <w:sz w:val="28"/>
          <w:szCs w:val="28"/>
          <w:lang w:val="en-US" w:eastAsia="zh-CN" w:bidi="ar"/>
        </w:rPr>
        <w:t xml:space="preserve"> </w:t>
      </w:r>
    </w:p>
    <w:p w14:paraId="6C3636BF">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2025年度支出预算合计51.01万元，其中：</w:t>
      </w:r>
    </w:p>
    <w:p w14:paraId="0A0B6E29">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基本支出51.01万元，占100%；</w:t>
      </w:r>
    </w:p>
    <w:p w14:paraId="5B4DDE6E">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项目支出0万元，占0 %； </w:t>
      </w:r>
    </w:p>
    <w:p w14:paraId="0C81F289">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事业单位经营支出0万元，占0%； </w:t>
      </w:r>
    </w:p>
    <w:p w14:paraId="73B4110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上缴上级支出0万元，占0%； </w:t>
      </w:r>
    </w:p>
    <w:p w14:paraId="4CA4D7C6">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对附属单位补助支出0万元，占0%。 </w:t>
      </w:r>
    </w:p>
    <w:p w14:paraId="1AC24EF4">
      <w:pPr>
        <w:keepNext w:val="0"/>
        <w:keepLines w:val="0"/>
        <w:widowControl/>
        <w:suppressLineNumbers w:val="0"/>
        <w:ind w:firstLine="420" w:firstLineChars="200"/>
        <w:jc w:val="left"/>
        <w:rPr>
          <w:rFonts w:hint="eastAsia" w:ascii="宋体" w:hAnsi="宋体" w:eastAsia="宋体" w:cs="宋体"/>
          <w:color w:val="000000"/>
          <w:kern w:val="0"/>
          <w:sz w:val="28"/>
          <w:szCs w:val="28"/>
          <w:lang w:val="en-US" w:eastAsia="zh-CN" w:bidi="ar"/>
        </w:rPr>
      </w:pPr>
      <w:r>
        <w:drawing>
          <wp:inline distT="0" distB="0" distL="114300" distR="114300">
            <wp:extent cx="4826000" cy="2743200"/>
            <wp:effectExtent l="4445" t="4445" r="8255" b="14605"/>
            <wp:docPr id="3" name="图表 1"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7AB63925">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四、财政拨款收支预算总体情况说明</w:t>
      </w:r>
      <w:r>
        <w:rPr>
          <w:rFonts w:hint="eastAsia" w:ascii="宋体" w:hAnsi="宋体" w:eastAsia="宋体" w:cs="宋体"/>
          <w:color w:val="000000"/>
          <w:kern w:val="0"/>
          <w:sz w:val="28"/>
          <w:szCs w:val="28"/>
          <w:lang w:val="en-US" w:eastAsia="zh-CN" w:bidi="ar"/>
        </w:rPr>
        <w:t xml:space="preserve"> </w:t>
      </w:r>
    </w:p>
    <w:p w14:paraId="383B2A50">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2025年度财政拨款收、支总预算51.01万元。 与上年相比，财政拨款收、支总计各增加0.73万元，增加1.45%。主要原因是正常调资</w:t>
      </w:r>
      <w:r>
        <w:rPr>
          <w:rFonts w:hint="eastAsia" w:ascii="宋体" w:hAnsi="宋体" w:eastAsia="宋体" w:cs="宋体"/>
          <w:i w:val="0"/>
          <w:iCs w:val="0"/>
          <w:caps w:val="0"/>
          <w:color w:val="333333"/>
          <w:spacing w:val="0"/>
          <w:sz w:val="28"/>
          <w:szCs w:val="28"/>
          <w:shd w:val="clear" w:fill="FFFFFF"/>
          <w:lang w:val="en-US" w:eastAsia="zh-CN"/>
        </w:rPr>
        <w:t>，相应工资、社保及公积金缴费增加</w:t>
      </w:r>
      <w:r>
        <w:rPr>
          <w:rFonts w:hint="eastAsia" w:ascii="宋体" w:hAnsi="宋体" w:eastAsia="宋体" w:cs="宋体"/>
          <w:color w:val="000000"/>
          <w:kern w:val="0"/>
          <w:sz w:val="28"/>
          <w:szCs w:val="28"/>
          <w:lang w:val="en-US" w:eastAsia="zh-CN" w:bidi="ar"/>
        </w:rPr>
        <w:t>。</w:t>
      </w:r>
    </w:p>
    <w:p w14:paraId="0FEE1B53">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五、一般公共预算支出预算情况说明</w:t>
      </w:r>
      <w:r>
        <w:rPr>
          <w:rFonts w:hint="eastAsia" w:ascii="宋体" w:hAnsi="宋体" w:eastAsia="宋体" w:cs="宋体"/>
          <w:color w:val="000000"/>
          <w:kern w:val="0"/>
          <w:sz w:val="28"/>
          <w:szCs w:val="28"/>
          <w:lang w:val="en-US" w:eastAsia="zh-CN" w:bidi="ar"/>
        </w:rPr>
        <w:t xml:space="preserve"> </w:t>
      </w:r>
    </w:p>
    <w:p w14:paraId="1F43139D">
      <w:pPr>
        <w:keepNext w:val="0"/>
        <w:keepLines w:val="0"/>
        <w:widowControl/>
        <w:suppressLineNumbers w:val="0"/>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2025年度一般公共预算财政拨款支出预算</w:t>
      </w:r>
      <w:r>
        <w:rPr>
          <w:rFonts w:hint="eastAsia" w:ascii="宋体" w:hAnsi="宋体" w:eastAsia="宋体" w:cs="宋体"/>
          <w:color w:val="000000"/>
          <w:kern w:val="0"/>
          <w:sz w:val="28"/>
          <w:szCs w:val="28"/>
          <w:lang w:val="en-US" w:eastAsia="zh-CN" w:bidi="ar"/>
        </w:rPr>
        <w:t>51.01万元， 与上年相比，财政拨款收、支总计各增加0.73万元，增加1.45%。</w:t>
      </w:r>
    </w:p>
    <w:p w14:paraId="0E79560E">
      <w:pPr>
        <w:pStyle w:val="4"/>
        <w:spacing w:after="0" w:line="60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具体情况如下： </w:t>
      </w:r>
    </w:p>
    <w:p w14:paraId="7EC7CCD6">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（一）社会保障和就业支出（类）</w:t>
      </w:r>
    </w:p>
    <w:p w14:paraId="49B93E15">
      <w:pPr>
        <w:keepNext w:val="0"/>
        <w:keepLines w:val="0"/>
        <w:widowControl/>
        <w:suppressLineNumbers w:val="0"/>
        <w:ind w:firstLine="540" w:firstLineChars="200"/>
        <w:jc w:val="left"/>
        <w:rPr>
          <w:rFonts w:hint="eastAsia" w:ascii="宋体" w:hAnsi="宋体" w:eastAsia="宋体" w:cs="宋体"/>
          <w:color w:val="auto"/>
          <w:kern w:val="0"/>
          <w:sz w:val="28"/>
          <w:szCs w:val="28"/>
          <w:lang w:val="en-US" w:eastAsia="zh-CN" w:bidi="ar"/>
        </w:rPr>
      </w:pPr>
      <w:r>
        <w:rPr>
          <w:rFonts w:ascii="fang_song_gb2312" w:hAnsi="fang_song_gb2312" w:eastAsia="fang_song_gb2312" w:cs="fang_song_gb2312"/>
          <w:kern w:val="0"/>
          <w:sz w:val="27"/>
          <w:szCs w:val="27"/>
        </w:rPr>
        <w:t> </w:t>
      </w:r>
      <w:r>
        <w:rPr>
          <w:rFonts w:hint="eastAsia" w:ascii="宋体" w:hAnsi="宋体" w:eastAsia="宋体" w:cs="宋体"/>
          <w:color w:val="auto"/>
          <w:kern w:val="0"/>
          <w:sz w:val="28"/>
          <w:szCs w:val="28"/>
          <w:lang w:val="en-US" w:eastAsia="zh-CN" w:bidi="ar"/>
        </w:rPr>
        <w:t>社会保障和就业支出类年初预算数为6.33万元，与上年相比增加0.08万元。其中：</w:t>
      </w:r>
    </w:p>
    <w:p w14:paraId="715D640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auto"/>
          <w:kern w:val="0"/>
          <w:sz w:val="28"/>
          <w:szCs w:val="28"/>
          <w:lang w:val="en-US" w:eastAsia="zh-CN" w:bidi="ar"/>
        </w:rPr>
        <w:t>  1．行政事业单位养老支出（款）机关事业单位基本养老保险缴费支出（项）。年初预算4.22万元，与上年相比增加0.05万元，增加1.00%。变动原因：</w:t>
      </w:r>
      <w:r>
        <w:rPr>
          <w:rFonts w:hint="eastAsia" w:ascii="宋体" w:hAnsi="宋体" w:eastAsia="宋体" w:cs="宋体"/>
          <w:color w:val="000000"/>
          <w:kern w:val="0"/>
          <w:sz w:val="28"/>
          <w:szCs w:val="28"/>
          <w:lang w:val="en-US" w:eastAsia="zh-CN" w:bidi="ar"/>
        </w:rPr>
        <w:t>正常调资</w:t>
      </w:r>
      <w:r>
        <w:rPr>
          <w:rFonts w:hint="eastAsia" w:ascii="宋体" w:hAnsi="宋体" w:eastAsia="宋体" w:cs="宋体"/>
          <w:i w:val="0"/>
          <w:iCs w:val="0"/>
          <w:caps w:val="0"/>
          <w:color w:val="333333"/>
          <w:spacing w:val="0"/>
          <w:sz w:val="28"/>
          <w:szCs w:val="28"/>
          <w:shd w:val="clear" w:fill="FFFFFF"/>
          <w:lang w:val="en-US" w:eastAsia="zh-CN"/>
        </w:rPr>
        <w:t>，相应养老保险缴费增加</w:t>
      </w:r>
      <w:r>
        <w:rPr>
          <w:rFonts w:hint="eastAsia" w:ascii="宋体" w:hAnsi="宋体" w:eastAsia="宋体" w:cs="宋体"/>
          <w:color w:val="000000"/>
          <w:kern w:val="0"/>
          <w:sz w:val="28"/>
          <w:szCs w:val="28"/>
          <w:lang w:val="en-US" w:eastAsia="zh-CN" w:bidi="ar"/>
        </w:rPr>
        <w:t>。</w:t>
      </w:r>
    </w:p>
    <w:p w14:paraId="5BC2BDCF">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auto"/>
          <w:kern w:val="0"/>
          <w:sz w:val="28"/>
          <w:szCs w:val="28"/>
          <w:lang w:val="en-US" w:eastAsia="zh-CN" w:bidi="ar"/>
        </w:rPr>
        <w:t xml:space="preserve">   2．行政事业单位养老支出（款）机关事业单位职业年金缴费支出（项）。年初预算2.11万元，与上年相比增加0.03万元，增加1.00%。变动原因：</w:t>
      </w:r>
      <w:r>
        <w:rPr>
          <w:rFonts w:hint="eastAsia" w:ascii="宋体" w:hAnsi="宋体" w:eastAsia="宋体" w:cs="宋体"/>
          <w:color w:val="000000"/>
          <w:kern w:val="0"/>
          <w:sz w:val="28"/>
          <w:szCs w:val="28"/>
          <w:lang w:val="en-US" w:eastAsia="zh-CN" w:bidi="ar"/>
        </w:rPr>
        <w:t>正常调资</w:t>
      </w:r>
      <w:r>
        <w:rPr>
          <w:rFonts w:hint="eastAsia" w:ascii="宋体" w:hAnsi="宋体" w:eastAsia="宋体" w:cs="宋体"/>
          <w:i w:val="0"/>
          <w:iCs w:val="0"/>
          <w:caps w:val="0"/>
          <w:color w:val="333333"/>
          <w:spacing w:val="0"/>
          <w:sz w:val="28"/>
          <w:szCs w:val="28"/>
          <w:shd w:val="clear" w:fill="FFFFFF"/>
          <w:lang w:val="en-US" w:eastAsia="zh-CN"/>
        </w:rPr>
        <w:t>，相应职业年金缴费增加</w:t>
      </w:r>
      <w:r>
        <w:rPr>
          <w:rFonts w:hint="eastAsia" w:ascii="宋体" w:hAnsi="宋体" w:eastAsia="宋体" w:cs="宋体"/>
          <w:color w:val="000000"/>
          <w:kern w:val="0"/>
          <w:sz w:val="28"/>
          <w:szCs w:val="28"/>
          <w:lang w:val="en-US" w:eastAsia="zh-CN" w:bidi="ar"/>
        </w:rPr>
        <w:t>。</w:t>
      </w:r>
    </w:p>
    <w:p w14:paraId="746E479F">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kai_ti_gb2312" w:hAnsi="kai_ti_gb2312" w:eastAsia="kai_ti_gb2312" w:cs="kai_ti_gb2312"/>
          <w:b/>
          <w:bCs/>
          <w:kern w:val="0"/>
          <w:sz w:val="27"/>
          <w:szCs w:val="27"/>
        </w:rPr>
        <w:t>（二）卫生健康支出（类）</w:t>
      </w:r>
    </w:p>
    <w:p w14:paraId="45D5FA50">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卫生健康支出类</w:t>
      </w:r>
      <w:r>
        <w:rPr>
          <w:rFonts w:hint="eastAsia" w:ascii="宋体" w:hAnsi="宋体" w:eastAsia="宋体" w:cs="宋体"/>
          <w:color w:val="auto"/>
          <w:kern w:val="0"/>
          <w:sz w:val="28"/>
          <w:szCs w:val="28"/>
          <w:lang w:val="en-US" w:eastAsia="zh-CN" w:bidi="ar"/>
        </w:rPr>
        <w:t>年初预算数为3.06万元，与上年相比增长0.04万元。</w:t>
      </w:r>
      <w:r>
        <w:rPr>
          <w:rFonts w:ascii="fang_song_gb2312" w:hAnsi="fang_song_gb2312" w:eastAsia="fang_song_gb2312" w:cs="fang_song_gb2312"/>
          <w:kern w:val="0"/>
          <w:sz w:val="27"/>
          <w:szCs w:val="27"/>
        </w:rPr>
        <w:t>其中：</w:t>
      </w:r>
    </w:p>
    <w:p w14:paraId="024B80A5">
      <w:pPr>
        <w:keepNext w:val="0"/>
        <w:keepLines w:val="0"/>
        <w:widowControl/>
        <w:suppressLineNumbers w:val="0"/>
        <w:ind w:firstLine="540" w:firstLineChars="200"/>
        <w:jc w:val="left"/>
        <w:rPr>
          <w:rFonts w:hint="eastAsia" w:ascii="宋体" w:hAnsi="宋体" w:eastAsia="宋体" w:cs="宋体"/>
          <w:sz w:val="28"/>
          <w:szCs w:val="28"/>
        </w:rPr>
      </w:pPr>
      <w:r>
        <w:rPr>
          <w:rFonts w:ascii="fang_song_gb2312" w:hAnsi="fang_song_gb2312" w:eastAsia="fang_song_gb2312" w:cs="fang_song_gb2312"/>
          <w:kern w:val="0"/>
          <w:sz w:val="27"/>
          <w:szCs w:val="27"/>
        </w:rPr>
        <w:t xml:space="preserve">  </w:t>
      </w:r>
      <w:r>
        <w:rPr>
          <w:rFonts w:hint="eastAsia" w:ascii="宋体" w:hAnsi="宋体" w:eastAsia="宋体" w:cs="宋体"/>
          <w:color w:val="auto"/>
          <w:kern w:val="0"/>
          <w:sz w:val="28"/>
          <w:szCs w:val="28"/>
          <w:lang w:val="en-US" w:eastAsia="zh-CN" w:bidi="ar"/>
        </w:rPr>
        <w:t xml:space="preserve"> 1．</w:t>
      </w:r>
      <w:r>
        <w:rPr>
          <w:rFonts w:ascii="fang_song_gb2312" w:hAnsi="fang_song_gb2312" w:eastAsia="fang_song_gb2312" w:cs="fang_song_gb2312"/>
          <w:kern w:val="0"/>
          <w:sz w:val="27"/>
          <w:szCs w:val="27"/>
        </w:rPr>
        <w:t>行政事业单位医疗（款）</w:t>
      </w:r>
      <w:r>
        <w:rPr>
          <w:rFonts w:hint="eastAsia" w:ascii="fang_song_gb2312" w:hAnsi="fang_song_gb2312" w:eastAsia="宋体" w:cs="fang_song_gb2312"/>
          <w:kern w:val="0"/>
          <w:sz w:val="27"/>
          <w:szCs w:val="27"/>
          <w:lang w:eastAsia="zh-CN"/>
        </w:rPr>
        <w:t>事业</w:t>
      </w:r>
      <w:r>
        <w:rPr>
          <w:rFonts w:ascii="fang_song_gb2312" w:hAnsi="fang_song_gb2312" w:eastAsia="fang_song_gb2312" w:cs="fang_song_gb2312"/>
          <w:kern w:val="0"/>
          <w:sz w:val="27"/>
          <w:szCs w:val="27"/>
        </w:rPr>
        <w:t>单位医疗（项）。</w:t>
      </w:r>
      <w:r>
        <w:rPr>
          <w:rFonts w:hint="eastAsia" w:ascii="宋体" w:hAnsi="宋体" w:eastAsia="宋体" w:cs="宋体"/>
          <w:kern w:val="0"/>
          <w:sz w:val="27"/>
          <w:szCs w:val="27"/>
          <w:lang w:val="en-US" w:eastAsia="zh-CN"/>
        </w:rPr>
        <w:t>年初预算1.96万元，与上年相比增加0.03万元，增加1.00%。变动原因：</w:t>
      </w:r>
      <w:r>
        <w:rPr>
          <w:rFonts w:hint="eastAsia" w:ascii="宋体" w:hAnsi="宋体" w:eastAsia="宋体" w:cs="宋体"/>
          <w:color w:val="000000"/>
          <w:kern w:val="0"/>
          <w:sz w:val="28"/>
          <w:szCs w:val="28"/>
          <w:lang w:val="en-US" w:eastAsia="zh-CN" w:bidi="ar"/>
        </w:rPr>
        <w:t>正常调资</w:t>
      </w:r>
      <w:r>
        <w:rPr>
          <w:rFonts w:hint="eastAsia" w:ascii="宋体" w:hAnsi="宋体" w:eastAsia="宋体" w:cs="宋体"/>
          <w:i w:val="0"/>
          <w:iCs w:val="0"/>
          <w:caps w:val="0"/>
          <w:color w:val="333333"/>
          <w:spacing w:val="0"/>
          <w:sz w:val="28"/>
          <w:szCs w:val="28"/>
          <w:shd w:val="clear" w:fill="FFFFFF"/>
          <w:lang w:val="en-US" w:eastAsia="zh-CN"/>
        </w:rPr>
        <w:t>，相应医疗保险缴费增加</w:t>
      </w:r>
      <w:r>
        <w:rPr>
          <w:rFonts w:hint="eastAsia" w:ascii="宋体" w:hAnsi="宋体" w:eastAsia="宋体" w:cs="宋体"/>
          <w:color w:val="000000"/>
          <w:kern w:val="0"/>
          <w:sz w:val="28"/>
          <w:szCs w:val="28"/>
          <w:lang w:val="en-US" w:eastAsia="zh-CN" w:bidi="ar"/>
        </w:rPr>
        <w:t>。</w:t>
      </w:r>
    </w:p>
    <w:p w14:paraId="0382B8F0">
      <w:pPr>
        <w:widowControl/>
        <w:spacing w:before="240" w:after="240"/>
        <w:rPr>
          <w:rFonts w:hint="eastAsia" w:ascii="宋体" w:hAnsi="宋体" w:eastAsia="宋体" w:cs="宋体"/>
          <w:kern w:val="0"/>
          <w:sz w:val="27"/>
          <w:szCs w:val="27"/>
          <w:lang w:val="en-US" w:eastAsia="zh-CN"/>
        </w:rPr>
      </w:pPr>
      <w:r>
        <w:rPr>
          <w:rFonts w:hint="eastAsia" w:ascii="宋体" w:hAnsi="宋体" w:eastAsia="宋体" w:cs="宋体"/>
          <w:kern w:val="0"/>
          <w:sz w:val="27"/>
          <w:szCs w:val="27"/>
          <w:lang w:val="en-US" w:eastAsia="zh-CN"/>
        </w:rPr>
        <w:t xml:space="preserve">  </w:t>
      </w:r>
      <w:r>
        <w:rPr>
          <w:rFonts w:hint="eastAsia" w:ascii="宋体" w:hAnsi="宋体" w:eastAsia="宋体" w:cs="宋体"/>
          <w:color w:val="auto"/>
          <w:kern w:val="0"/>
          <w:sz w:val="28"/>
          <w:szCs w:val="28"/>
          <w:lang w:val="en-US" w:eastAsia="zh-CN" w:bidi="ar"/>
        </w:rPr>
        <w:t xml:space="preserve">    2．</w:t>
      </w:r>
      <w:r>
        <w:rPr>
          <w:rFonts w:hint="eastAsia" w:ascii="宋体" w:hAnsi="宋体" w:eastAsia="宋体" w:cs="宋体"/>
          <w:kern w:val="0"/>
          <w:sz w:val="27"/>
          <w:szCs w:val="27"/>
        </w:rPr>
        <w:t>行政事业单位医疗（款）公务员医疗补助（项）。</w:t>
      </w:r>
      <w:r>
        <w:rPr>
          <w:rFonts w:hint="eastAsia" w:ascii="宋体" w:hAnsi="宋体" w:eastAsia="宋体" w:cs="宋体"/>
          <w:kern w:val="0"/>
          <w:sz w:val="27"/>
          <w:szCs w:val="27"/>
          <w:lang w:val="en-US" w:eastAsia="zh-CN"/>
        </w:rPr>
        <w:t>年初预算1.1万元，与上年相比增加0.01万元，增加1.00%。变动原因：正常调资，相应</w:t>
      </w:r>
      <w:r>
        <w:rPr>
          <w:rFonts w:hint="eastAsia" w:ascii="宋体" w:hAnsi="宋体" w:eastAsia="宋体" w:cs="宋体"/>
          <w:i w:val="0"/>
          <w:iCs w:val="0"/>
          <w:caps w:val="0"/>
          <w:color w:val="333333"/>
          <w:spacing w:val="0"/>
          <w:sz w:val="28"/>
          <w:szCs w:val="28"/>
          <w:shd w:val="clear" w:fill="FFFFFF"/>
          <w:lang w:val="en-US" w:eastAsia="zh-CN"/>
        </w:rPr>
        <w:t>公务员医疗补助缴费增加</w:t>
      </w:r>
      <w:r>
        <w:rPr>
          <w:rFonts w:hint="eastAsia" w:ascii="宋体" w:hAnsi="宋体" w:eastAsia="宋体" w:cs="宋体"/>
          <w:kern w:val="0"/>
          <w:sz w:val="27"/>
          <w:szCs w:val="27"/>
          <w:lang w:val="en-US" w:eastAsia="zh-CN"/>
        </w:rPr>
        <w:t>。</w:t>
      </w:r>
    </w:p>
    <w:p w14:paraId="425DFA2F">
      <w:pPr>
        <w:widowControl/>
        <w:spacing w:before="240" w:after="240"/>
        <w:ind w:firstLine="540" w:firstLineChars="20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（三）住房保障支出（类）</w:t>
      </w:r>
    </w:p>
    <w:p w14:paraId="07286284">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住房保障支出类</w:t>
      </w:r>
      <w:r>
        <w:rPr>
          <w:rFonts w:hint="eastAsia" w:ascii="宋体" w:hAnsi="宋体" w:eastAsia="宋体" w:cs="宋体"/>
          <w:color w:val="auto"/>
          <w:kern w:val="0"/>
          <w:sz w:val="28"/>
          <w:szCs w:val="28"/>
          <w:lang w:val="en-US" w:eastAsia="zh-CN" w:bidi="ar"/>
        </w:rPr>
        <w:t>年初预算数为4.01万元，与上年相比增加0.04万元</w:t>
      </w:r>
      <w:r>
        <w:rPr>
          <w:rFonts w:ascii="fang_song_gb2312" w:hAnsi="fang_song_gb2312" w:eastAsia="fang_song_gb2312" w:cs="fang_song_gb2312"/>
          <w:kern w:val="0"/>
          <w:sz w:val="27"/>
          <w:szCs w:val="27"/>
        </w:rPr>
        <w:t>。其中：</w:t>
      </w:r>
    </w:p>
    <w:p w14:paraId="78274DBC">
      <w:pPr>
        <w:keepNext w:val="0"/>
        <w:keepLines w:val="0"/>
        <w:widowControl/>
        <w:suppressLineNumbers w:val="0"/>
        <w:ind w:firstLine="540" w:firstLineChars="200"/>
        <w:jc w:val="left"/>
        <w:rPr>
          <w:rFonts w:hint="eastAsia" w:ascii="宋体" w:hAnsi="宋体" w:eastAsia="宋体" w:cs="宋体"/>
          <w:sz w:val="28"/>
          <w:szCs w:val="28"/>
        </w:rPr>
      </w:pPr>
      <w:r>
        <w:rPr>
          <w:rFonts w:ascii="fang_song_gb2312" w:hAnsi="fang_song_gb2312" w:eastAsia="fang_song_gb2312" w:cs="fang_song_gb2312"/>
          <w:kern w:val="0"/>
          <w:sz w:val="27"/>
          <w:szCs w:val="27"/>
        </w:rPr>
        <w:t> 住房改革支出（款）住房公积金（项）。</w:t>
      </w:r>
      <w:r>
        <w:rPr>
          <w:rFonts w:hint="eastAsia" w:ascii="宋体" w:hAnsi="宋体" w:eastAsia="宋体" w:cs="宋体"/>
          <w:color w:val="auto"/>
          <w:kern w:val="0"/>
          <w:sz w:val="28"/>
          <w:szCs w:val="28"/>
          <w:lang w:val="en-US" w:eastAsia="zh-CN" w:bidi="ar"/>
        </w:rPr>
        <w:t>年初预算4.01万元，与上年相比增加0.04万元，增加1.31%。变动原因：</w:t>
      </w:r>
      <w:r>
        <w:rPr>
          <w:rFonts w:hint="eastAsia" w:ascii="宋体" w:hAnsi="宋体" w:eastAsia="宋体" w:cs="宋体"/>
          <w:color w:val="000000"/>
          <w:kern w:val="0"/>
          <w:sz w:val="28"/>
          <w:szCs w:val="28"/>
          <w:lang w:val="en-US" w:eastAsia="zh-CN" w:bidi="ar"/>
        </w:rPr>
        <w:t>正常调资</w:t>
      </w:r>
      <w:r>
        <w:rPr>
          <w:rFonts w:hint="eastAsia" w:ascii="宋体" w:hAnsi="宋体" w:eastAsia="宋体" w:cs="宋体"/>
          <w:i w:val="0"/>
          <w:iCs w:val="0"/>
          <w:caps w:val="0"/>
          <w:color w:val="333333"/>
          <w:spacing w:val="0"/>
          <w:sz w:val="28"/>
          <w:szCs w:val="28"/>
          <w:shd w:val="clear" w:fill="FFFFFF"/>
          <w:lang w:val="en-US" w:eastAsia="zh-CN"/>
        </w:rPr>
        <w:t>，相应住房公积金缴费增加</w:t>
      </w:r>
      <w:r>
        <w:rPr>
          <w:rFonts w:hint="eastAsia" w:ascii="宋体" w:hAnsi="宋体" w:eastAsia="宋体" w:cs="宋体"/>
          <w:color w:val="000000"/>
          <w:kern w:val="0"/>
          <w:sz w:val="28"/>
          <w:szCs w:val="28"/>
          <w:lang w:val="en-US" w:eastAsia="zh-CN" w:bidi="ar"/>
        </w:rPr>
        <w:t>。</w:t>
      </w:r>
    </w:p>
    <w:p w14:paraId="25EB5C1C">
      <w:pPr>
        <w:keepNext w:val="0"/>
        <w:keepLines w:val="0"/>
        <w:widowControl/>
        <w:suppressLineNumbers w:val="0"/>
        <w:ind w:firstLine="560" w:firstLineChars="200"/>
        <w:jc w:val="left"/>
        <w:rPr>
          <w:rFonts w:hint="eastAsia" w:ascii="宋体" w:hAnsi="宋体" w:eastAsia="楷体" w:cs="宋体"/>
          <w:kern w:val="0"/>
          <w:sz w:val="24"/>
          <w:szCs w:val="24"/>
        </w:rPr>
      </w:pPr>
      <w:r>
        <w:rPr>
          <w:rFonts w:hint="eastAsia" w:ascii="宋体" w:hAnsi="宋体" w:eastAsia="宋体" w:cs="宋体"/>
          <w:color w:val="auto"/>
          <w:kern w:val="0"/>
          <w:sz w:val="28"/>
          <w:szCs w:val="28"/>
          <w:lang w:val="en-US" w:eastAsia="zh-CN" w:bidi="ar"/>
        </w:rPr>
        <w:t xml:space="preserve"> </w:t>
      </w:r>
      <w:r>
        <w:rPr>
          <w:rFonts w:hint="eastAsia" w:ascii="kai_ti_gb2312" w:hAnsi="kai_ti_gb2312" w:eastAsia="kai_ti_gb2312" w:cs="kai_ti_gb2312"/>
          <w:b/>
          <w:bCs/>
          <w:kern w:val="0"/>
          <w:sz w:val="27"/>
          <w:szCs w:val="27"/>
        </w:rPr>
        <w:t>（四）资源勘探工业信息等支出（类）</w:t>
      </w:r>
    </w:p>
    <w:p w14:paraId="75A728BF">
      <w:pPr>
        <w:widowControl/>
        <w:spacing w:before="240" w:after="240"/>
        <w:ind w:firstLine="481"/>
        <w:rPr>
          <w:rFonts w:hint="eastAsia" w:ascii="fang_song_gb2312" w:hAnsi="fang_song_gb2312" w:eastAsia="fang_song_gb2312" w:cs="fang_song_gb2312"/>
          <w:kern w:val="0"/>
          <w:sz w:val="27"/>
          <w:szCs w:val="27"/>
        </w:rPr>
      </w:pPr>
      <w:r>
        <w:rPr>
          <w:rFonts w:hint="default" w:ascii="fang_song_gb2312" w:hAnsi="fang_song_gb2312" w:eastAsia="fang_song_gb2312" w:cs="fang_song_gb2312"/>
          <w:kern w:val="0"/>
          <w:sz w:val="27"/>
          <w:szCs w:val="27"/>
        </w:rPr>
        <w:t xml:space="preserve"> </w:t>
      </w:r>
      <w:r>
        <w:rPr>
          <w:rFonts w:hint="eastAsia" w:ascii="fang_song_gb2312" w:hAnsi="fang_song_gb2312" w:eastAsia="fang_song_gb2312" w:cs="fang_song_gb2312"/>
          <w:kern w:val="0"/>
          <w:sz w:val="27"/>
          <w:szCs w:val="27"/>
        </w:rPr>
        <w:t>资源勘探工业信息等支出</w:t>
      </w:r>
      <w:r>
        <w:rPr>
          <w:rFonts w:hint="eastAsia" w:ascii="宋体" w:hAnsi="宋体" w:eastAsia="宋体" w:cs="宋体"/>
          <w:color w:val="auto"/>
          <w:kern w:val="0"/>
          <w:sz w:val="28"/>
          <w:szCs w:val="28"/>
          <w:lang w:val="en-US" w:eastAsia="zh-CN" w:bidi="ar"/>
        </w:rPr>
        <w:t>年初预算数为37.61万元，与上年相比增加0.56万元</w:t>
      </w:r>
      <w:r>
        <w:rPr>
          <w:rFonts w:hint="eastAsia" w:ascii="fang_song_gb2312" w:hAnsi="fang_song_gb2312" w:eastAsia="fang_song_gb2312" w:cs="fang_song_gb2312"/>
          <w:kern w:val="0"/>
          <w:sz w:val="27"/>
          <w:szCs w:val="27"/>
        </w:rPr>
        <w:t>。其中：</w:t>
      </w:r>
    </w:p>
    <w:p w14:paraId="67EDD3D2">
      <w:pPr>
        <w:pStyle w:val="2"/>
        <w:ind w:left="0" w:leftChars="0" w:firstLine="540" w:firstLineChars="200"/>
        <w:rPr>
          <w:rFonts w:hint="eastAsia" w:ascii="宋体" w:hAnsi="宋体" w:eastAsia="宋体" w:cs="宋体"/>
          <w:sz w:val="28"/>
          <w:szCs w:val="28"/>
        </w:rPr>
      </w:pPr>
      <w:r>
        <w:rPr>
          <w:rFonts w:hint="eastAsia" w:ascii="宋体" w:hAnsi="宋体" w:eastAsia="宋体" w:cs="宋体"/>
          <w:kern w:val="0"/>
          <w:sz w:val="27"/>
          <w:szCs w:val="27"/>
          <w:lang w:val="en-US" w:eastAsia="zh-CN"/>
        </w:rPr>
        <w:t>工业和信息产业</w:t>
      </w:r>
      <w:r>
        <w:rPr>
          <w:rFonts w:ascii="fang_song_gb2312" w:hAnsi="fang_song_gb2312" w:eastAsia="fang_song_gb2312" w:cs="fang_song_gb2312"/>
          <w:kern w:val="0"/>
          <w:sz w:val="27"/>
          <w:szCs w:val="27"/>
        </w:rPr>
        <w:t>（款）</w:t>
      </w:r>
      <w:r>
        <w:rPr>
          <w:rFonts w:hint="eastAsia" w:ascii="fang_song_gb2312" w:hAnsi="fang_song_gb2312" w:eastAsia="fang_song_gb2312" w:cs="fang_song_gb2312"/>
          <w:kern w:val="0"/>
          <w:sz w:val="27"/>
          <w:szCs w:val="27"/>
        </w:rPr>
        <w:t>其他工业和信息产业支出</w:t>
      </w:r>
      <w:r>
        <w:rPr>
          <w:rFonts w:ascii="fang_song_gb2312" w:hAnsi="fang_song_gb2312" w:eastAsia="fang_song_gb2312" w:cs="fang_song_gb2312"/>
          <w:kern w:val="0"/>
          <w:sz w:val="27"/>
          <w:szCs w:val="27"/>
        </w:rPr>
        <w:t>（项）</w:t>
      </w:r>
      <w:r>
        <w:rPr>
          <w:rFonts w:hint="eastAsia" w:ascii="fang_song_gb2312" w:hAnsi="fang_song_gb2312" w:cs="fang_song_gb2312"/>
          <w:kern w:val="0"/>
          <w:sz w:val="27"/>
          <w:szCs w:val="27"/>
          <w:lang w:eastAsia="zh-CN"/>
        </w:rPr>
        <w:t>。</w:t>
      </w:r>
      <w:r>
        <w:rPr>
          <w:rFonts w:hint="eastAsia" w:ascii="宋体" w:hAnsi="宋体" w:eastAsia="宋体" w:cs="宋体"/>
          <w:color w:val="auto"/>
          <w:kern w:val="0"/>
          <w:sz w:val="28"/>
          <w:szCs w:val="28"/>
          <w:lang w:val="en-US" w:eastAsia="zh-CN" w:bidi="ar"/>
        </w:rPr>
        <w:t>年初预算数为</w:t>
      </w:r>
      <w:r>
        <w:rPr>
          <w:rFonts w:hint="eastAsia" w:cs="宋体"/>
          <w:color w:val="auto"/>
          <w:kern w:val="0"/>
          <w:sz w:val="28"/>
          <w:szCs w:val="28"/>
          <w:lang w:val="en-US" w:eastAsia="zh-CN" w:bidi="ar"/>
        </w:rPr>
        <w:t>37.61</w:t>
      </w:r>
      <w:r>
        <w:rPr>
          <w:rFonts w:hint="eastAsia" w:ascii="宋体" w:hAnsi="宋体" w:eastAsia="宋体" w:cs="宋体"/>
          <w:color w:val="auto"/>
          <w:kern w:val="0"/>
          <w:sz w:val="28"/>
          <w:szCs w:val="28"/>
          <w:lang w:val="en-US" w:eastAsia="zh-CN" w:bidi="ar"/>
        </w:rPr>
        <w:t>万元，与上年相比</w:t>
      </w:r>
      <w:r>
        <w:rPr>
          <w:rFonts w:hint="eastAsia" w:cs="宋体"/>
          <w:color w:val="auto"/>
          <w:kern w:val="0"/>
          <w:sz w:val="28"/>
          <w:szCs w:val="28"/>
          <w:lang w:val="en-US" w:eastAsia="zh-CN" w:bidi="ar"/>
        </w:rPr>
        <w:t>增加0.56</w:t>
      </w:r>
      <w:r>
        <w:rPr>
          <w:rFonts w:hint="eastAsia" w:ascii="宋体" w:hAnsi="宋体" w:eastAsia="宋体" w:cs="宋体"/>
          <w:color w:val="auto"/>
          <w:kern w:val="0"/>
          <w:sz w:val="28"/>
          <w:szCs w:val="28"/>
          <w:lang w:val="en-US" w:eastAsia="zh-CN" w:bidi="ar"/>
        </w:rPr>
        <w:t>万元，</w:t>
      </w:r>
      <w:r>
        <w:rPr>
          <w:rFonts w:hint="eastAsia" w:cs="宋体"/>
          <w:color w:val="auto"/>
          <w:kern w:val="0"/>
          <w:sz w:val="28"/>
          <w:szCs w:val="28"/>
          <w:lang w:val="en-US" w:eastAsia="zh-CN" w:bidi="ar"/>
        </w:rPr>
        <w:t>增加1.51</w:t>
      </w:r>
      <w:r>
        <w:rPr>
          <w:rFonts w:hint="eastAsia" w:ascii="宋体" w:hAnsi="宋体" w:eastAsia="宋体" w:cs="宋体"/>
          <w:color w:val="auto"/>
          <w:kern w:val="0"/>
          <w:sz w:val="28"/>
          <w:szCs w:val="28"/>
          <w:lang w:val="en-US" w:eastAsia="zh-CN" w:bidi="ar"/>
        </w:rPr>
        <w:t xml:space="preserve"> %。变动原因：</w:t>
      </w:r>
      <w:r>
        <w:rPr>
          <w:rFonts w:hint="eastAsia" w:cs="宋体"/>
          <w:color w:val="000000"/>
          <w:kern w:val="0"/>
          <w:sz w:val="28"/>
          <w:szCs w:val="28"/>
          <w:lang w:val="en-US" w:eastAsia="zh-CN" w:bidi="ar"/>
        </w:rPr>
        <w:t>正常调资</w:t>
      </w:r>
      <w:r>
        <w:rPr>
          <w:rFonts w:hint="eastAsia" w:ascii="宋体" w:hAnsi="宋体" w:eastAsia="宋体" w:cs="宋体"/>
          <w:i w:val="0"/>
          <w:iCs w:val="0"/>
          <w:caps w:val="0"/>
          <w:color w:val="333333"/>
          <w:spacing w:val="0"/>
          <w:sz w:val="28"/>
          <w:szCs w:val="28"/>
          <w:shd w:val="clear" w:fill="FFFFFF"/>
          <w:lang w:val="en-US" w:eastAsia="zh-CN"/>
        </w:rPr>
        <w:t>，相应工资津补贴</w:t>
      </w:r>
      <w:r>
        <w:rPr>
          <w:rFonts w:hint="eastAsia" w:cs="宋体"/>
          <w:i w:val="0"/>
          <w:iCs w:val="0"/>
          <w:caps w:val="0"/>
          <w:color w:val="333333"/>
          <w:spacing w:val="0"/>
          <w:sz w:val="28"/>
          <w:szCs w:val="28"/>
          <w:shd w:val="clear" w:fill="FFFFFF"/>
          <w:lang w:val="en-US" w:eastAsia="zh-CN"/>
        </w:rPr>
        <w:t>增加</w:t>
      </w:r>
      <w:r>
        <w:rPr>
          <w:rFonts w:hint="eastAsia" w:ascii="宋体" w:hAnsi="宋体" w:eastAsia="宋体" w:cs="宋体"/>
          <w:color w:val="000000"/>
          <w:kern w:val="0"/>
          <w:sz w:val="28"/>
          <w:szCs w:val="28"/>
          <w:lang w:val="en-US" w:eastAsia="zh-CN" w:bidi="ar"/>
        </w:rPr>
        <w:t>。</w:t>
      </w:r>
    </w:p>
    <w:p w14:paraId="7725BBFD">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auto"/>
          <w:kern w:val="0"/>
          <w:sz w:val="28"/>
          <w:szCs w:val="28"/>
          <w:lang w:val="en-US" w:eastAsia="zh-CN" w:bidi="ar"/>
        </w:rPr>
        <w:t xml:space="preserve"> </w:t>
      </w:r>
      <w:r>
        <w:rPr>
          <w:rFonts w:hint="eastAsia" w:ascii="宋体" w:hAnsi="宋体" w:eastAsia="宋体" w:cs="宋体"/>
          <w:b/>
          <w:bCs/>
          <w:color w:val="000000"/>
          <w:kern w:val="0"/>
          <w:sz w:val="28"/>
          <w:szCs w:val="28"/>
          <w:lang w:val="en-US" w:eastAsia="zh-CN" w:bidi="ar"/>
        </w:rPr>
        <w:t>六、一般公共预算基本支出预算情况说明</w:t>
      </w:r>
      <w:r>
        <w:rPr>
          <w:rFonts w:hint="eastAsia" w:ascii="宋体" w:hAnsi="宋体" w:eastAsia="宋体" w:cs="宋体"/>
          <w:color w:val="000000"/>
          <w:kern w:val="0"/>
          <w:sz w:val="28"/>
          <w:szCs w:val="28"/>
          <w:lang w:val="en-US" w:eastAsia="zh-CN" w:bidi="ar"/>
        </w:rPr>
        <w:t xml:space="preserve"> </w:t>
      </w:r>
    </w:p>
    <w:p w14:paraId="0C2E97C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2025年度一般公共预算财政拨款基本支出预算51.01万元，其中： </w:t>
      </w:r>
    </w:p>
    <w:p w14:paraId="1AEA4445">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（一）人员经费47.61万元</w:t>
      </w:r>
      <w:r>
        <w:rPr>
          <w:rFonts w:hint="eastAsia" w:ascii="宋体" w:hAnsi="宋体" w:eastAsia="宋体" w:cs="宋体"/>
          <w:color w:val="000000"/>
          <w:kern w:val="0"/>
          <w:sz w:val="28"/>
          <w:szCs w:val="28"/>
          <w:lang w:val="en-US" w:eastAsia="zh-CN" w:bidi="ar"/>
        </w:rPr>
        <w:t xml:space="preserve">。主要包括：基本工资、津贴补贴、 奖金、绩效工资、机关事业单位基本养老保险缴费、职业年金缴费、职工基本医疗保险缴费、公务员医疗补助缴费、其他社会保障缴费、住房公积金等。 </w:t>
      </w:r>
    </w:p>
    <w:p w14:paraId="5B739606">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（二）公用经费3.39万元</w:t>
      </w:r>
      <w:r>
        <w:rPr>
          <w:rFonts w:hint="eastAsia" w:ascii="宋体" w:hAnsi="宋体" w:eastAsia="宋体" w:cs="宋体"/>
          <w:color w:val="000000"/>
          <w:kern w:val="0"/>
          <w:sz w:val="28"/>
          <w:szCs w:val="28"/>
          <w:lang w:val="en-US" w:eastAsia="zh-CN" w:bidi="ar"/>
        </w:rPr>
        <w:t xml:space="preserve">。主要包括：办公费、手续费、邮电费、差旅费、维修（护）费、工会经费、福利费、奖励金等。 </w:t>
      </w:r>
    </w:p>
    <w:p w14:paraId="55C7187C">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七、一般公共预算“三公”经费支出预算情况说明</w:t>
      </w:r>
      <w:r>
        <w:rPr>
          <w:rFonts w:hint="eastAsia" w:ascii="宋体" w:hAnsi="宋体" w:eastAsia="宋体" w:cs="宋体"/>
          <w:color w:val="000000"/>
          <w:kern w:val="0"/>
          <w:sz w:val="28"/>
          <w:szCs w:val="28"/>
          <w:lang w:val="en-US" w:eastAsia="zh-CN" w:bidi="ar"/>
        </w:rPr>
        <w:t xml:space="preserve"> </w:t>
      </w:r>
    </w:p>
    <w:p w14:paraId="340CC2A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2025年度一般公共预算拨款安排的“三公”经费预算支出0万元，其中因公出国（境）费支出0万元，占0%；公务用车购置及运行维护费支出0万元，占0%；公务接待费支出0万元，占0%。具体情况如下： </w:t>
      </w:r>
    </w:p>
    <w:p w14:paraId="2815662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一般公共预算拨款安排的“三公”经费预算支出0万元，比上年预算增加0万元，增加0%；其中： </w:t>
      </w:r>
    </w:p>
    <w:p w14:paraId="3F0A61F8">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1．因公出国（境）费预算支出0万元，比上年预算增加（减少）0万元。 </w:t>
      </w:r>
    </w:p>
    <w:p w14:paraId="53D824E3">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2．公务用车购置及运行维护费预算支出0万元。其中： </w:t>
      </w:r>
    </w:p>
    <w:p w14:paraId="6052938D">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（1）公务用车购置预算支出0万元，比上年预算增加（减少）0万元。 </w:t>
      </w:r>
    </w:p>
    <w:p w14:paraId="35E4B38D">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（2）公务用车运行维护费预算支出0万元，比上年预算增加0万元。 </w:t>
      </w:r>
    </w:p>
    <w:p w14:paraId="1914DF9C">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3．公务接待费预算支出0万元，比上年预算增加（减少）0万元。 </w:t>
      </w:r>
    </w:p>
    <w:p w14:paraId="1EE35D8A">
      <w:pPr>
        <w:keepNext w:val="0"/>
        <w:keepLines w:val="0"/>
        <w:widowControl/>
        <w:suppressLineNumbers w:val="0"/>
        <w:ind w:firstLine="560" w:firstLineChars="200"/>
        <w:jc w:val="left"/>
        <w:rPr>
          <w:rFonts w:hint="eastAsia"/>
        </w:rPr>
      </w:pPr>
      <w:r>
        <w:rPr>
          <w:rFonts w:hint="eastAsia" w:ascii="宋体" w:hAnsi="宋体" w:eastAsia="宋体" w:cs="宋体"/>
          <w:color w:val="000000"/>
          <w:kern w:val="0"/>
          <w:sz w:val="28"/>
          <w:szCs w:val="28"/>
          <w:lang w:val="en-US" w:eastAsia="zh-CN" w:bidi="ar"/>
        </w:rPr>
        <w:t xml:space="preserve">主要原因是本单位无公务用车。 </w:t>
      </w:r>
    </w:p>
    <w:p w14:paraId="05A4E165">
      <w:pPr>
        <w:keepNext w:val="0"/>
        <w:keepLines w:val="0"/>
        <w:widowControl/>
        <w:suppressLineNumbers w:val="0"/>
        <w:ind w:firstLine="562" w:firstLineChars="200"/>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 xml:space="preserve">八、政府性基金预算支出预算情况说明 </w:t>
      </w:r>
    </w:p>
    <w:p w14:paraId="36619CA2">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2025年度政府性基金支出预算支出0万元。与上年相比增加（减少）0万元，增长（减少）0% 。主要原因是本单位无政府性基金预算支出。 </w:t>
      </w:r>
    </w:p>
    <w:p w14:paraId="67C42CC3">
      <w:pPr>
        <w:keepNext w:val="0"/>
        <w:keepLines w:val="0"/>
        <w:widowControl/>
        <w:suppressLineNumbers w:val="0"/>
        <w:ind w:firstLine="562" w:firstLineChars="200"/>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 xml:space="preserve">九、国有资本经营预算支出预算情况说明 </w:t>
      </w:r>
    </w:p>
    <w:p w14:paraId="3F1E18CF">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2025年度国有资本经营预算支出0万元。与上年相比增加（减少）0万元，增长（减少）0% 。 主要原因是本单位无国有资本经营预算支出。 </w:t>
      </w:r>
    </w:p>
    <w:p w14:paraId="315EF7B8">
      <w:pPr>
        <w:keepNext w:val="0"/>
        <w:keepLines w:val="0"/>
        <w:widowControl/>
        <w:suppressLineNumbers w:val="0"/>
        <w:ind w:firstLine="562" w:firstLineChars="200"/>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 xml:space="preserve">十、项目支出预算情况说明 </w:t>
      </w:r>
    </w:p>
    <w:p w14:paraId="1CBA1A2D">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2025年度预算安排项目 0个，项目预算总金额0万元。其中，财政本年拨款金额0万元，财政拨款结转结余0万元，财政专户管理资金0万元，单位资金0万元。 </w:t>
      </w:r>
    </w:p>
    <w:p w14:paraId="358F3FDB">
      <w:pPr>
        <w:keepNext w:val="0"/>
        <w:keepLines w:val="0"/>
        <w:widowControl/>
        <w:suppressLineNumbers w:val="0"/>
        <w:ind w:firstLine="562" w:firstLineChars="200"/>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 xml:space="preserve">十一、机构运行经费支出预算情况说明 </w:t>
      </w:r>
    </w:p>
    <w:p w14:paraId="3034C403">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2025 年度机构运行经费预算支出3.39万元，与上年相比增加0.19万元，增加5.94%。主要原因是：正常调资</w:t>
      </w:r>
      <w:r>
        <w:rPr>
          <w:rFonts w:hint="eastAsia" w:ascii="宋体" w:hAnsi="宋体" w:eastAsia="宋体" w:cs="宋体"/>
          <w:i w:val="0"/>
          <w:iCs w:val="0"/>
          <w:caps w:val="0"/>
          <w:color w:val="333333"/>
          <w:spacing w:val="0"/>
          <w:sz w:val="28"/>
          <w:szCs w:val="28"/>
          <w:shd w:val="clear" w:fill="FFFFFF"/>
          <w:lang w:val="en-US" w:eastAsia="zh-CN"/>
        </w:rPr>
        <w:t>，相应福利费及工会经费增加</w:t>
      </w:r>
      <w:r>
        <w:rPr>
          <w:rFonts w:hint="eastAsia" w:ascii="宋体" w:hAnsi="宋体" w:eastAsia="宋体" w:cs="宋体"/>
          <w:color w:val="000000"/>
          <w:kern w:val="0"/>
          <w:sz w:val="28"/>
          <w:szCs w:val="28"/>
          <w:lang w:val="en-US" w:eastAsia="zh-CN" w:bidi="ar"/>
        </w:rPr>
        <w:t xml:space="preserve">。 </w:t>
      </w:r>
    </w:p>
    <w:p w14:paraId="7D23D2EC">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十二、政府采购支出预算情况说明</w:t>
      </w:r>
      <w:r>
        <w:rPr>
          <w:rFonts w:hint="eastAsia" w:ascii="宋体" w:hAnsi="宋体" w:eastAsia="宋体" w:cs="宋体"/>
          <w:color w:val="000000"/>
          <w:kern w:val="0"/>
          <w:sz w:val="28"/>
          <w:szCs w:val="28"/>
          <w:lang w:val="en-US" w:eastAsia="zh-CN" w:bidi="ar"/>
        </w:rPr>
        <w:t xml:space="preserve"> </w:t>
      </w:r>
    </w:p>
    <w:p w14:paraId="28E3970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2025年度政府采购支出预算总额0万元，其中：拟采购货物支出0万元、拟采购工程支出0万元、拟购买服务支出0万元。 </w:t>
      </w:r>
    </w:p>
    <w:p w14:paraId="4E1D02F0">
      <w:pPr>
        <w:keepNext w:val="0"/>
        <w:keepLines w:val="0"/>
        <w:widowControl/>
        <w:suppressLineNumbers w:val="0"/>
        <w:ind w:firstLine="562" w:firstLineChars="200"/>
        <w:jc w:val="left"/>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 xml:space="preserve">十三、国有资产占用情况说明 </w:t>
      </w:r>
    </w:p>
    <w:p w14:paraId="49BCC621">
      <w:pPr>
        <w:keepNext w:val="0"/>
        <w:keepLines w:val="0"/>
        <w:widowControl/>
        <w:suppressLineNumbers w:val="0"/>
        <w:ind w:firstLine="560"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color w:val="000000"/>
          <w:kern w:val="0"/>
          <w:sz w:val="28"/>
          <w:szCs w:val="28"/>
          <w:lang w:val="en-US" w:eastAsia="zh-CN" w:bidi="ar"/>
        </w:rPr>
        <w:t>我单位共有车辆0辆，其中，一般公务用车0辆、执法执勤用车0辆、特种专业技术用车0辆、业务用车0辆、其他用车0辆等。</w:t>
      </w:r>
      <w:r>
        <w:rPr>
          <w:rFonts w:hint="eastAsia" w:ascii="宋体" w:hAnsi="宋体" w:eastAsia="宋体" w:cs="宋体"/>
          <w:color w:val="auto"/>
          <w:kern w:val="0"/>
          <w:sz w:val="28"/>
          <w:szCs w:val="28"/>
          <w:lang w:val="en-US" w:eastAsia="zh-CN" w:bidi="ar"/>
        </w:rPr>
        <w:t>单价 50 万元（含）以上的通用设备0台（套），单价 100 万元（含）以上的专用设备0台（套）。</w:t>
      </w:r>
    </w:p>
    <w:p w14:paraId="0D903545">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主要原因是本单位无国有资产。 </w:t>
      </w:r>
    </w:p>
    <w:p w14:paraId="6F3BAC6F">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 </w:t>
      </w:r>
      <w:r>
        <w:rPr>
          <w:rFonts w:hint="eastAsia" w:ascii="宋体" w:hAnsi="宋体" w:eastAsia="宋体" w:cs="宋体"/>
          <w:b/>
          <w:bCs/>
          <w:color w:val="000000"/>
          <w:kern w:val="0"/>
          <w:sz w:val="28"/>
          <w:szCs w:val="28"/>
          <w:lang w:val="en-US" w:eastAsia="zh-CN" w:bidi="ar"/>
        </w:rPr>
        <w:t>十四、项目绩效目标情况说明</w:t>
      </w:r>
      <w:r>
        <w:rPr>
          <w:rFonts w:hint="eastAsia" w:ascii="宋体" w:hAnsi="宋体" w:eastAsia="宋体" w:cs="宋体"/>
          <w:color w:val="000000"/>
          <w:kern w:val="0"/>
          <w:sz w:val="28"/>
          <w:szCs w:val="28"/>
          <w:lang w:val="en-US" w:eastAsia="zh-CN" w:bidi="ar"/>
        </w:rPr>
        <w:t xml:space="preserve"> </w:t>
      </w:r>
    </w:p>
    <w:p w14:paraId="083C10D2">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我单位2025年度填报绩效目标的预算项目11个，公开项目11个，公开项目占全部预算项目的 100%。公开填报绩效目标的项目预算51.01万元，占全部项目预算的 100%。</w:t>
      </w:r>
    </w:p>
    <w:p w14:paraId="2C6ABE7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646" w:right="0"/>
        <w:jc w:val="left"/>
        <w:rPr>
          <w:rFonts w:hint="eastAsia" w:ascii="宋体" w:hAnsi="宋体" w:eastAsia="宋体" w:cs="宋体"/>
          <w:i w:val="0"/>
          <w:iCs w:val="0"/>
          <w:caps w:val="0"/>
          <w:color w:val="333333"/>
          <w:spacing w:val="0"/>
          <w:sz w:val="28"/>
          <w:szCs w:val="28"/>
          <w:shd w:val="clear" w:fill="FFFFFF"/>
        </w:rPr>
      </w:pPr>
    </w:p>
    <w:p w14:paraId="176945B7">
      <w:pPr>
        <w:keepNext w:val="0"/>
        <w:keepLines w:val="0"/>
        <w:widowControl/>
        <w:suppressLineNumbers w:val="0"/>
        <w:jc w:val="center"/>
        <w:rPr>
          <w:rFonts w:hint="eastAsia" w:ascii="宋体" w:hAnsi="宋体" w:eastAsia="宋体" w:cs="宋体"/>
          <w:b/>
          <w:bCs/>
          <w:sz w:val="28"/>
          <w:szCs w:val="28"/>
        </w:rPr>
      </w:pPr>
      <w:r>
        <w:rPr>
          <w:rFonts w:hint="eastAsia" w:ascii="宋体" w:hAnsi="宋体" w:eastAsia="宋体" w:cs="宋体"/>
          <w:i w:val="0"/>
          <w:iCs w:val="0"/>
          <w:caps w:val="0"/>
          <w:color w:val="000000"/>
          <w:spacing w:val="0"/>
          <w:sz w:val="28"/>
          <w:szCs w:val="28"/>
          <w:shd w:val="clear" w:fill="FFFFFF"/>
        </w:rPr>
        <w:t> </w:t>
      </w:r>
      <w:r>
        <w:rPr>
          <w:rFonts w:hint="eastAsia" w:ascii="宋体" w:hAnsi="宋体" w:eastAsia="宋体" w:cs="宋体"/>
          <w:b/>
          <w:bCs/>
          <w:color w:val="000000"/>
          <w:kern w:val="0"/>
          <w:sz w:val="28"/>
          <w:szCs w:val="28"/>
          <w:lang w:val="en-US" w:eastAsia="zh-CN" w:bidi="ar"/>
        </w:rPr>
        <w:t>第三部分 名词解释</w:t>
      </w:r>
    </w:p>
    <w:p w14:paraId="214A68D6">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一、财政拨款：</w:t>
      </w:r>
      <w:r>
        <w:rPr>
          <w:rFonts w:hint="eastAsia" w:ascii="宋体" w:hAnsi="宋体" w:eastAsia="宋体" w:cs="宋体"/>
          <w:color w:val="000000"/>
          <w:kern w:val="0"/>
          <w:sz w:val="28"/>
          <w:szCs w:val="28"/>
          <w:lang w:val="en-US" w:eastAsia="zh-CN" w:bidi="ar"/>
        </w:rPr>
        <w:t xml:space="preserve">从同级财政部门取得的各类财政拨款，包括一般公共预算拨款、政府性基金预算拨款、国有资本经营预算拨款。 </w:t>
      </w:r>
    </w:p>
    <w:p w14:paraId="77988749">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二、一般公共预算拨款收入：</w:t>
      </w:r>
      <w:r>
        <w:rPr>
          <w:rFonts w:hint="eastAsia" w:ascii="宋体" w:hAnsi="宋体" w:eastAsia="宋体" w:cs="宋体"/>
          <w:color w:val="000000"/>
          <w:kern w:val="0"/>
          <w:sz w:val="28"/>
          <w:szCs w:val="28"/>
          <w:lang w:val="en-US" w:eastAsia="zh-CN" w:bidi="ar"/>
        </w:rPr>
        <w:t xml:space="preserve">指财政当年拨付的资金。 </w:t>
      </w:r>
    </w:p>
    <w:p w14:paraId="23161DA2">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三、财政专户管理资金：</w:t>
      </w:r>
      <w:r>
        <w:rPr>
          <w:rFonts w:hint="eastAsia" w:ascii="宋体" w:hAnsi="宋体" w:eastAsia="宋体" w:cs="宋体"/>
          <w:color w:val="000000"/>
          <w:kern w:val="0"/>
          <w:sz w:val="28"/>
          <w:szCs w:val="28"/>
          <w:lang w:val="en-US" w:eastAsia="zh-CN" w:bidi="ar"/>
        </w:rPr>
        <w:t xml:space="preserve">缴入财政专户、实行专项管理的高中以上学费、住宿费、高校委托培养费、函大、电大、夜大及短训班培训费等教育收费。 </w:t>
      </w:r>
    </w:p>
    <w:p w14:paraId="1F49F219">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四、单位资金：</w:t>
      </w:r>
      <w:r>
        <w:rPr>
          <w:rFonts w:hint="eastAsia" w:ascii="宋体" w:hAnsi="宋体" w:eastAsia="宋体" w:cs="宋体"/>
          <w:color w:val="000000"/>
          <w:kern w:val="0"/>
          <w:sz w:val="28"/>
          <w:szCs w:val="28"/>
          <w:lang w:val="en-US" w:eastAsia="zh-CN" w:bidi="ar"/>
        </w:rPr>
        <w:t xml:space="preserve">除财政拨款收入和财政专户管理资金以外的收入，包括事业收入（不含教育收费）、上级补助收入、附属单位上缴收入、事业单位经营收入及其他收入（包含债务收入、投资收益等）。 </w:t>
      </w:r>
    </w:p>
    <w:p w14:paraId="66CA971C">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五、基本支出：</w:t>
      </w:r>
      <w:r>
        <w:rPr>
          <w:rFonts w:hint="eastAsia" w:ascii="宋体" w:hAnsi="宋体" w:eastAsia="宋体" w:cs="宋体"/>
          <w:color w:val="000000"/>
          <w:kern w:val="0"/>
          <w:sz w:val="28"/>
          <w:szCs w:val="28"/>
          <w:lang w:val="en-US" w:eastAsia="zh-CN" w:bidi="ar"/>
        </w:rPr>
        <w:t xml:space="preserve">指为保障机构正常运转、完成工作任务而发生的人员支出和公用支出。 </w:t>
      </w:r>
    </w:p>
    <w:p w14:paraId="0CB3C075">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六、项目支出：</w:t>
      </w:r>
      <w:r>
        <w:rPr>
          <w:rFonts w:hint="eastAsia" w:ascii="宋体" w:hAnsi="宋体" w:eastAsia="宋体" w:cs="宋体"/>
          <w:color w:val="000000"/>
          <w:kern w:val="0"/>
          <w:sz w:val="28"/>
          <w:szCs w:val="28"/>
          <w:lang w:val="en-US" w:eastAsia="zh-CN" w:bidi="ar"/>
        </w:rPr>
        <w:t xml:space="preserve">指在基本支出之外为完成特定工作任务和事业发展目标所发生的支出。 </w:t>
      </w:r>
    </w:p>
    <w:p w14:paraId="5B8757F5">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七、对个人和家庭的补助：</w:t>
      </w:r>
      <w:r>
        <w:rPr>
          <w:rFonts w:hint="eastAsia" w:ascii="宋体" w:hAnsi="宋体" w:eastAsia="宋体" w:cs="宋体"/>
          <w:color w:val="000000"/>
          <w:kern w:val="0"/>
          <w:sz w:val="28"/>
          <w:szCs w:val="28"/>
          <w:lang w:val="en-US" w:eastAsia="zh-CN" w:bidi="ar"/>
        </w:rPr>
        <w:t xml:space="preserve">是指政府用于对个人和家庭的补助支出。 </w:t>
      </w:r>
    </w:p>
    <w:p w14:paraId="6341E91E">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八、“三公”经费：</w:t>
      </w:r>
      <w:r>
        <w:rPr>
          <w:rFonts w:hint="eastAsia" w:ascii="宋体" w:hAnsi="宋体" w:eastAsia="宋体" w:cs="宋体"/>
          <w:color w:val="000000"/>
          <w:kern w:val="0"/>
          <w:sz w:val="28"/>
          <w:szCs w:val="28"/>
          <w:lang w:val="en-US" w:eastAsia="zh-CN" w:bidi="ar"/>
        </w:rPr>
        <w:t xml:space="preserve">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 </w:t>
      </w:r>
    </w:p>
    <w:p w14:paraId="1ED833BE">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九、机构运行经费：</w:t>
      </w:r>
      <w:r>
        <w:rPr>
          <w:rFonts w:hint="eastAsia" w:ascii="宋体" w:hAnsi="宋体" w:eastAsia="宋体" w:cs="宋体"/>
          <w:color w:val="000000"/>
          <w:kern w:val="0"/>
          <w:sz w:val="28"/>
          <w:szCs w:val="28"/>
          <w:lang w:val="en-US" w:eastAsia="zh-CN" w:bidi="ar"/>
        </w:rPr>
        <w:t xml:space="preserve">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 </w:t>
      </w:r>
    </w:p>
    <w:p w14:paraId="40E38F8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宋体" w:hAnsi="宋体" w:eastAsia="宋体" w:cs="宋体"/>
          <w:sz w:val="28"/>
          <w:szCs w:val="28"/>
        </w:rPr>
      </w:pPr>
    </w:p>
    <w:p w14:paraId="5ECE992E">
      <w:pPr>
        <w:keepNext w:val="0"/>
        <w:keepLines w:val="0"/>
        <w:widowControl/>
        <w:suppressLineNumbers w:val="0"/>
        <w:jc w:val="center"/>
        <w:rPr>
          <w:rFonts w:hint="eastAsia" w:ascii="宋体" w:hAnsi="宋体" w:eastAsia="宋体" w:cs="宋体"/>
          <w:b/>
          <w:bCs/>
          <w:sz w:val="28"/>
          <w:szCs w:val="28"/>
        </w:rPr>
      </w:pPr>
      <w:r>
        <w:rPr>
          <w:rFonts w:hint="eastAsia" w:ascii="宋体" w:hAnsi="宋体" w:eastAsia="宋体" w:cs="宋体"/>
          <w:i w:val="0"/>
          <w:iCs w:val="0"/>
          <w:caps w:val="0"/>
          <w:color w:val="000000"/>
          <w:spacing w:val="0"/>
          <w:sz w:val="28"/>
          <w:szCs w:val="28"/>
          <w:shd w:val="clear" w:fill="FFFFFF"/>
        </w:rPr>
        <w:t> </w:t>
      </w:r>
      <w:r>
        <w:rPr>
          <w:rFonts w:hint="eastAsia" w:ascii="宋体" w:hAnsi="宋体" w:eastAsia="宋体" w:cs="宋体"/>
          <w:b/>
          <w:bCs/>
          <w:color w:val="000000"/>
          <w:kern w:val="0"/>
          <w:sz w:val="28"/>
          <w:szCs w:val="28"/>
          <w:lang w:val="en-US" w:eastAsia="zh-CN" w:bidi="ar"/>
        </w:rPr>
        <w:t>第四部分 预算公开联系方式及信息反馈渠道</w:t>
      </w:r>
    </w:p>
    <w:p w14:paraId="2FA859A7">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本单位预算公开信息反馈和联系方式： </w:t>
      </w:r>
    </w:p>
    <w:p w14:paraId="6B3A007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45"/>
        <w:jc w:val="left"/>
        <w:rPr>
          <w:rFonts w:hint="default" w:ascii="宋体" w:hAnsi="宋体" w:eastAsia="宋体" w:cs="宋体"/>
          <w:sz w:val="28"/>
          <w:szCs w:val="28"/>
          <w:lang w:val="en-US" w:eastAsia="zh-CN"/>
        </w:rPr>
      </w:pPr>
      <w:r>
        <w:rPr>
          <w:rFonts w:hint="eastAsia" w:ascii="宋体" w:hAnsi="宋体" w:eastAsia="宋体" w:cs="宋体"/>
          <w:i w:val="0"/>
          <w:iCs w:val="0"/>
          <w:caps w:val="0"/>
          <w:color w:val="000000"/>
          <w:spacing w:val="0"/>
          <w:sz w:val="28"/>
          <w:szCs w:val="28"/>
          <w:shd w:val="clear" w:fill="FFFFFF"/>
        </w:rPr>
        <w:t>联系人：</w:t>
      </w:r>
      <w:r>
        <w:rPr>
          <w:rFonts w:hint="eastAsia" w:ascii="宋体" w:hAnsi="宋体" w:eastAsia="宋体" w:cs="宋体"/>
          <w:i w:val="0"/>
          <w:iCs w:val="0"/>
          <w:caps w:val="0"/>
          <w:color w:val="000000"/>
          <w:spacing w:val="0"/>
          <w:sz w:val="28"/>
          <w:szCs w:val="28"/>
          <w:shd w:val="clear" w:fill="FFFFFF"/>
          <w:lang w:eastAsia="zh-CN"/>
        </w:rPr>
        <w:t>杨瑜</w:t>
      </w:r>
      <w:r>
        <w:rPr>
          <w:rFonts w:hint="eastAsia" w:ascii="宋体" w:hAnsi="宋体" w:eastAsia="宋体" w:cs="宋体"/>
          <w:i w:val="0"/>
          <w:iCs w:val="0"/>
          <w:caps w:val="0"/>
          <w:color w:val="000000"/>
          <w:spacing w:val="0"/>
          <w:sz w:val="28"/>
          <w:szCs w:val="28"/>
          <w:shd w:val="clear" w:fill="FFFFFF"/>
        </w:rPr>
        <w:t>     联系电话：047</w:t>
      </w:r>
      <w:r>
        <w:rPr>
          <w:rFonts w:hint="eastAsia" w:ascii="宋体" w:hAnsi="宋体" w:eastAsia="宋体" w:cs="宋体"/>
          <w:i w:val="0"/>
          <w:iCs w:val="0"/>
          <w:caps w:val="0"/>
          <w:color w:val="000000"/>
          <w:spacing w:val="0"/>
          <w:sz w:val="28"/>
          <w:szCs w:val="28"/>
          <w:shd w:val="clear" w:fill="FFFFFF"/>
          <w:lang w:val="en-US" w:eastAsia="zh-CN"/>
        </w:rPr>
        <w:t>4</w:t>
      </w:r>
      <w:r>
        <w:rPr>
          <w:rFonts w:hint="eastAsia" w:ascii="宋体" w:hAnsi="宋体" w:eastAsia="宋体" w:cs="宋体"/>
          <w:i w:val="0"/>
          <w:iCs w:val="0"/>
          <w:caps w:val="0"/>
          <w:color w:val="000000"/>
          <w:spacing w:val="0"/>
          <w:sz w:val="28"/>
          <w:szCs w:val="28"/>
          <w:shd w:val="clear" w:fill="FFFFFF"/>
        </w:rPr>
        <w:t>-</w:t>
      </w:r>
      <w:r>
        <w:rPr>
          <w:rFonts w:hint="eastAsia" w:ascii="宋体" w:hAnsi="宋体" w:eastAsia="宋体" w:cs="宋体"/>
          <w:i w:val="0"/>
          <w:iCs w:val="0"/>
          <w:caps w:val="0"/>
          <w:color w:val="000000"/>
          <w:spacing w:val="0"/>
          <w:sz w:val="28"/>
          <w:szCs w:val="28"/>
          <w:shd w:val="clear" w:fill="FFFFFF"/>
          <w:lang w:val="en-US" w:eastAsia="zh-CN"/>
        </w:rPr>
        <w:t>8239571</w:t>
      </w:r>
    </w:p>
    <w:p w14:paraId="0DFF44E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宋体" w:hAnsi="宋体" w:eastAsia="宋体" w:cs="宋体"/>
          <w:sz w:val="28"/>
          <w:szCs w:val="28"/>
        </w:rPr>
      </w:pPr>
      <w:r>
        <w:rPr>
          <w:rStyle w:val="8"/>
          <w:rFonts w:hint="eastAsia" w:ascii="宋体" w:hAnsi="宋体" w:eastAsia="宋体" w:cs="宋体"/>
          <w:i w:val="0"/>
          <w:iCs w:val="0"/>
          <w:caps w:val="0"/>
          <w:color w:val="000000"/>
          <w:spacing w:val="0"/>
          <w:sz w:val="28"/>
          <w:szCs w:val="28"/>
          <w:shd w:val="clear" w:fill="FFFFFF"/>
        </w:rPr>
        <w:t> </w:t>
      </w:r>
    </w:p>
    <w:p w14:paraId="11E2C16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宋体" w:hAnsi="宋体" w:eastAsia="宋体" w:cs="宋体"/>
          <w:sz w:val="28"/>
          <w:szCs w:val="28"/>
        </w:rPr>
      </w:pPr>
      <w:r>
        <w:rPr>
          <w:rStyle w:val="8"/>
          <w:rFonts w:hint="eastAsia" w:ascii="宋体" w:hAnsi="宋体" w:eastAsia="宋体" w:cs="宋体"/>
          <w:i w:val="0"/>
          <w:iCs w:val="0"/>
          <w:caps w:val="0"/>
          <w:color w:val="000000"/>
          <w:spacing w:val="0"/>
          <w:sz w:val="28"/>
          <w:szCs w:val="28"/>
          <w:shd w:val="clear" w:fill="FFFFFF"/>
        </w:rPr>
        <w:t>第</w:t>
      </w:r>
      <w:r>
        <w:rPr>
          <w:rStyle w:val="8"/>
          <w:rFonts w:hint="eastAsia" w:ascii="宋体" w:hAnsi="宋体" w:eastAsia="宋体" w:cs="宋体"/>
          <w:i w:val="0"/>
          <w:iCs w:val="0"/>
          <w:caps w:val="0"/>
          <w:color w:val="000000"/>
          <w:spacing w:val="0"/>
          <w:sz w:val="28"/>
          <w:szCs w:val="28"/>
          <w:shd w:val="clear" w:fill="FFFFFF"/>
          <w:lang w:eastAsia="zh-CN"/>
        </w:rPr>
        <w:t>五</w:t>
      </w:r>
      <w:r>
        <w:rPr>
          <w:rStyle w:val="8"/>
          <w:rFonts w:hint="eastAsia" w:ascii="宋体" w:hAnsi="宋体" w:eastAsia="宋体" w:cs="宋体"/>
          <w:i w:val="0"/>
          <w:iCs w:val="0"/>
          <w:caps w:val="0"/>
          <w:color w:val="000000"/>
          <w:spacing w:val="0"/>
          <w:sz w:val="28"/>
          <w:szCs w:val="28"/>
          <w:shd w:val="clear" w:fill="FFFFFF"/>
        </w:rPr>
        <w:t>部分  部门预算公开表</w:t>
      </w:r>
    </w:p>
    <w:p w14:paraId="5D94F77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72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FFFFFF"/>
        </w:rPr>
        <w:t> </w:t>
      </w:r>
      <w:bookmarkStart w:id="0" w:name="_GoBack"/>
      <w:bookmarkEnd w:id="0"/>
    </w:p>
    <w:p w14:paraId="54C3DDD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FFFFFF"/>
        </w:rPr>
        <w:t>详见附表：部门预算公开1</w:t>
      </w:r>
      <w:r>
        <w:rPr>
          <w:rFonts w:hint="eastAsia" w:ascii="宋体" w:hAnsi="宋体" w:eastAsia="宋体" w:cs="宋体"/>
          <w:i w:val="0"/>
          <w:iCs w:val="0"/>
          <w:caps w:val="0"/>
          <w:color w:val="000000"/>
          <w:spacing w:val="0"/>
          <w:sz w:val="28"/>
          <w:szCs w:val="28"/>
          <w:shd w:val="clear" w:fill="FFFFFF"/>
          <w:lang w:val="en-US" w:eastAsia="zh-CN"/>
        </w:rPr>
        <w:t>2</w:t>
      </w:r>
      <w:r>
        <w:rPr>
          <w:rFonts w:hint="eastAsia" w:ascii="宋体" w:hAnsi="宋体" w:eastAsia="宋体" w:cs="宋体"/>
          <w:i w:val="0"/>
          <w:iCs w:val="0"/>
          <w:caps w:val="0"/>
          <w:color w:val="000000"/>
          <w:spacing w:val="0"/>
          <w:sz w:val="28"/>
          <w:szCs w:val="28"/>
          <w:shd w:val="clear" w:fill="FFFFFF"/>
        </w:rPr>
        <w:t>张表</w:t>
      </w:r>
    </w:p>
    <w:p w14:paraId="2710389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sz w:val="28"/>
          <w:szCs w:val="28"/>
        </w:rPr>
      </w:pPr>
    </w:p>
    <w:p w14:paraId="07E99AD8">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1.收支总表 </w:t>
      </w:r>
    </w:p>
    <w:p w14:paraId="412ED9B5">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2.收入总表 </w:t>
      </w:r>
    </w:p>
    <w:p w14:paraId="371070B7">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3.支出总表 </w:t>
      </w:r>
    </w:p>
    <w:p w14:paraId="608191C8">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4.财政拨款收支总表 </w:t>
      </w:r>
    </w:p>
    <w:p w14:paraId="343BE87D">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5.一般公共预算支出表 </w:t>
      </w:r>
    </w:p>
    <w:p w14:paraId="6F402526">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6.一般公共预算基本支出表 </w:t>
      </w:r>
    </w:p>
    <w:p w14:paraId="78473E09">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7.一般公共预算“三公”经费支出表 </w:t>
      </w:r>
    </w:p>
    <w:p w14:paraId="2BD28C83">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8.政府性基金预算支出表 </w:t>
      </w:r>
    </w:p>
    <w:p w14:paraId="1A8843FE">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9.国有资本经营预算支出表 </w:t>
      </w:r>
    </w:p>
    <w:p w14:paraId="61CB2440">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10.项目支出表 </w:t>
      </w:r>
    </w:p>
    <w:p w14:paraId="2C71F2F0">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11.项目绩效目标表 </w:t>
      </w:r>
    </w:p>
    <w:p w14:paraId="35240694">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12.政府采购预算表 </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kai_ti_gb231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ang_song_gb2312">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3Y2Q3YmZiNDQ5MjA0OTBkMTQxY2Y3ZjZiZmRmNWQifQ=="/>
  </w:docVars>
  <w:rsids>
    <w:rsidRoot w:val="53FB3E52"/>
    <w:rsid w:val="00311A5F"/>
    <w:rsid w:val="00CC5B42"/>
    <w:rsid w:val="026A2CD4"/>
    <w:rsid w:val="02FF3ABF"/>
    <w:rsid w:val="03A53375"/>
    <w:rsid w:val="03C054F5"/>
    <w:rsid w:val="04D55CE3"/>
    <w:rsid w:val="074E5AE0"/>
    <w:rsid w:val="0A663C02"/>
    <w:rsid w:val="0ACF6739"/>
    <w:rsid w:val="0B6A1F39"/>
    <w:rsid w:val="0BD96D1D"/>
    <w:rsid w:val="0C191933"/>
    <w:rsid w:val="0DF42C85"/>
    <w:rsid w:val="0EB7236D"/>
    <w:rsid w:val="0F396338"/>
    <w:rsid w:val="11B00A36"/>
    <w:rsid w:val="11BA7B07"/>
    <w:rsid w:val="12C00F62"/>
    <w:rsid w:val="15B50C2A"/>
    <w:rsid w:val="16A45302"/>
    <w:rsid w:val="19566124"/>
    <w:rsid w:val="19866520"/>
    <w:rsid w:val="1B1560B0"/>
    <w:rsid w:val="1ED5115B"/>
    <w:rsid w:val="1F1C0F96"/>
    <w:rsid w:val="20144886"/>
    <w:rsid w:val="22296079"/>
    <w:rsid w:val="242B69E9"/>
    <w:rsid w:val="249A1E4A"/>
    <w:rsid w:val="24B71C84"/>
    <w:rsid w:val="254B6EAE"/>
    <w:rsid w:val="276E54FB"/>
    <w:rsid w:val="28461C04"/>
    <w:rsid w:val="29032C29"/>
    <w:rsid w:val="29E2574F"/>
    <w:rsid w:val="2A520F23"/>
    <w:rsid w:val="2A636B36"/>
    <w:rsid w:val="2AD551E3"/>
    <w:rsid w:val="2BF26CBE"/>
    <w:rsid w:val="31024B1E"/>
    <w:rsid w:val="33022EDC"/>
    <w:rsid w:val="371A67D4"/>
    <w:rsid w:val="37697DF6"/>
    <w:rsid w:val="37730610"/>
    <w:rsid w:val="38B3089B"/>
    <w:rsid w:val="38DF03A6"/>
    <w:rsid w:val="398F6080"/>
    <w:rsid w:val="3AD209C5"/>
    <w:rsid w:val="3C826487"/>
    <w:rsid w:val="3E401CC1"/>
    <w:rsid w:val="3FE23FA4"/>
    <w:rsid w:val="40F43ACE"/>
    <w:rsid w:val="41C25B4A"/>
    <w:rsid w:val="421D0A3C"/>
    <w:rsid w:val="44B3045E"/>
    <w:rsid w:val="458E7206"/>
    <w:rsid w:val="467F74EB"/>
    <w:rsid w:val="46B87B95"/>
    <w:rsid w:val="481E5818"/>
    <w:rsid w:val="4ABA34BA"/>
    <w:rsid w:val="4B4439C2"/>
    <w:rsid w:val="4B5D393F"/>
    <w:rsid w:val="4B8E7920"/>
    <w:rsid w:val="4CF33E88"/>
    <w:rsid w:val="4DCC61A3"/>
    <w:rsid w:val="4E872A00"/>
    <w:rsid w:val="518C1C0F"/>
    <w:rsid w:val="51B11329"/>
    <w:rsid w:val="51CA1E02"/>
    <w:rsid w:val="52FD0898"/>
    <w:rsid w:val="53A37EE4"/>
    <w:rsid w:val="53FB3E52"/>
    <w:rsid w:val="54C830DA"/>
    <w:rsid w:val="54DF6509"/>
    <w:rsid w:val="55A06D91"/>
    <w:rsid w:val="58AD42FC"/>
    <w:rsid w:val="5958652D"/>
    <w:rsid w:val="5A0A7674"/>
    <w:rsid w:val="5A493582"/>
    <w:rsid w:val="5B743E4F"/>
    <w:rsid w:val="5BE7407C"/>
    <w:rsid w:val="5C6519EA"/>
    <w:rsid w:val="5C873E4E"/>
    <w:rsid w:val="60FA7009"/>
    <w:rsid w:val="61B53B1B"/>
    <w:rsid w:val="621C1E14"/>
    <w:rsid w:val="622D2E27"/>
    <w:rsid w:val="642D6D02"/>
    <w:rsid w:val="6438481B"/>
    <w:rsid w:val="68032ACF"/>
    <w:rsid w:val="68EC1E66"/>
    <w:rsid w:val="69512165"/>
    <w:rsid w:val="6B7075A8"/>
    <w:rsid w:val="6B947134"/>
    <w:rsid w:val="6D405F89"/>
    <w:rsid w:val="6F4F436A"/>
    <w:rsid w:val="767B6A9B"/>
    <w:rsid w:val="777D554D"/>
    <w:rsid w:val="78230FD0"/>
    <w:rsid w:val="79C5206C"/>
    <w:rsid w:val="7A6B26D1"/>
    <w:rsid w:val="7CA3425D"/>
    <w:rsid w:val="7CA64D1B"/>
    <w:rsid w:val="7E2C2673"/>
    <w:rsid w:val="7E602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4">
    <w:name w:val="Body Text"/>
    <w:basedOn w:val="1"/>
    <w:unhideWhenUsed/>
    <w:qFormat/>
    <w:uiPriority w:val="1"/>
    <w:pPr>
      <w:spacing w:after="120"/>
    </w:p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Strong"/>
    <w:basedOn w:val="7"/>
    <w:autoRedefine/>
    <w:qFormat/>
    <w:uiPriority w:val="0"/>
    <w:rPr>
      <w:b/>
    </w:rPr>
  </w:style>
  <w:style w:type="character" w:styleId="9">
    <w:name w:val="Hyperlink"/>
    <w:basedOn w:val="7"/>
    <w:autoRedefine/>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a:defRPr lang="zh-CN" sz="14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图一</a:t>
            </a:r>
            <a:r>
              <a:rPr lang="en-US" altLang="zh-CN"/>
              <a:t> </a:t>
            </a:r>
            <a:r>
              <a:rPr altLang="en-US"/>
              <a:t>收入预算图</a:t>
            </a:r>
            <a:endParaRPr altLang="en-US"/>
          </a:p>
        </c:rich>
      </c:tx>
      <c:layout/>
      <c:overlay val="0"/>
      <c:spPr>
        <a:noFill/>
        <a:ln>
          <a:noFill/>
        </a:ln>
        <a:effectLst/>
      </c:spPr>
    </c:title>
    <c:autoTitleDeleted val="0"/>
    <c:plotArea>
      <c:layout/>
      <c:pieChart>
        <c:varyColors val="1"/>
        <c:ser>
          <c:idx val="0"/>
          <c:order val="0"/>
          <c:tx>
            <c:strRef>
              <c:f>[工作簿1]Sheet1!$H$9</c:f>
              <c:strCache>
                <c:ptCount val="1"/>
                <c:pt idx="0">
                  <c:v>本年收入</c:v>
                </c:pt>
              </c:strCache>
            </c:strRef>
          </c:tx>
          <c:spPr/>
          <c:explosion val="0"/>
          <c:dPt>
            <c:idx val="0"/>
            <c:bubble3D val="0"/>
            <c:spPr>
              <a:solidFill>
                <a:schemeClr val="accent1"/>
              </a:solidFill>
              <a:ln>
                <a:solidFill>
                  <a:schemeClr val="bg1"/>
                </a:solidFill>
              </a:ln>
              <a:effectLst/>
            </c:spPr>
          </c:dPt>
          <c:dLbls>
            <c:dLbl>
              <c:idx val="0"/>
              <c:layout>
                <c:manualLayout>
                  <c:x val="-0.00394736842105263"/>
                  <c:y val="-0.166666666666667"/>
                </c:manualLayout>
              </c:layout>
              <c:tx>
                <c:rich>
                  <a:bodyPr rot="0" spcFirstLastPara="0" vertOverflow="ellipsis" vert="horz" wrap="square" lIns="38100" tIns="19050" rIns="38100" bIns="19050" anchor="ctr" anchorCtr="1" forceAA="0"/>
                  <a:lstStyle/>
                  <a:p>
                    <a:pPr defTabSz="914400">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100%</a:t>
                    </a:r>
                  </a:p>
                </c:rich>
              </c:tx>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outEnd"/>
            <c:showLegendKey val="0"/>
            <c:showVal val="1"/>
            <c:showCatName val="1"/>
            <c:showSerName val="0"/>
            <c:showPercent val="0"/>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{"本年收入"}</c:f>
              <c:strCache>
                <c:ptCount val="1"/>
                <c:pt idx="0">
                  <c:v>本年收入</c:v>
                </c:pt>
              </c:strCache>
            </c:strRef>
          </c:cat>
          <c:val>
            <c:numRef>
              <c:f>[工作簿1]Sheet1!$I$9</c:f>
              <c:numCache>
                <c:formatCode>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legend>
    <c:plotVisOnly val="1"/>
    <c:dispBlanksAs val="gap"/>
    <c:showDLblsOverMax val="0"/>
    <c:extLst>
      <c:ext uri="{0b15fc19-7d7d-44ad-8c2d-2c3a37ce22c3}">
        <chartProps xmlns="https://web.wps.cn/et/2018/main" chartId="{bc8dc269-169b-449b-970d-88108d4821e4}"/>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a:defRPr lang="zh-CN" sz="14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图二</a:t>
            </a:r>
            <a:r>
              <a:rPr lang="en-US" altLang="zh-CN"/>
              <a:t>  </a:t>
            </a:r>
            <a:r>
              <a:rPr altLang="en-US"/>
              <a:t>支出预算图</a:t>
            </a:r>
            <a:endParaRPr altLang="en-US"/>
          </a:p>
        </c:rich>
      </c:tx>
      <c:layout/>
      <c:overlay val="0"/>
      <c:spPr>
        <a:noFill/>
        <a:ln>
          <a:noFill/>
        </a:ln>
        <a:effectLst/>
      </c:spPr>
    </c:title>
    <c:autoTitleDeleted val="0"/>
    <c:plotArea>
      <c:layout/>
      <c:pieChart>
        <c:varyColors val="1"/>
        <c:ser>
          <c:idx val="0"/>
          <c:order val="0"/>
          <c:tx>
            <c:strRef>
              <c:f>[工作簿1]Sheet1!$H$9</c:f>
              <c:strCache>
                <c:ptCount val="1"/>
                <c:pt idx="0">
                  <c:v>本年收入</c:v>
                </c:pt>
              </c:strCache>
            </c:strRef>
          </c:tx>
          <c:spPr/>
          <c:explosion val="0"/>
          <c:dPt>
            <c:idx val="0"/>
            <c:bubble3D val="0"/>
            <c:spPr>
              <a:solidFill>
                <a:schemeClr val="accent1"/>
              </a:solidFill>
              <a:ln>
                <a:solidFill>
                  <a:schemeClr val="bg1"/>
                </a:solidFill>
              </a:ln>
              <a:effectLst/>
            </c:spPr>
          </c:dPt>
          <c:dLbls>
            <c:dLbl>
              <c:idx val="0"/>
              <c:layout>
                <c:manualLayout>
                  <c:x val="-0.00394736842105263"/>
                  <c:y val="-0.166666666666667"/>
                </c:manualLayout>
              </c:layout>
              <c:tx>
                <c:rich>
                  <a:bodyPr rot="0" spcFirstLastPara="0" vertOverflow="ellipsis" vert="horz" wrap="square" lIns="38100" tIns="19050" rIns="38100" bIns="19050" anchor="ctr" anchorCtr="1" forceAA="0"/>
                  <a:lstStyle/>
                  <a:p>
                    <a:pPr defTabSz="914400">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100%</a:t>
                    </a:r>
                  </a:p>
                </c:rich>
              </c:tx>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outEnd"/>
            <c:showLegendKey val="0"/>
            <c:showVal val="1"/>
            <c:showCatName val="1"/>
            <c:showSerName val="0"/>
            <c:showPercent val="0"/>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{"基本支出"}</c:f>
              <c:strCache>
                <c:ptCount val="1"/>
                <c:pt idx="0">
                  <c:v>基本支出</c:v>
                </c:pt>
              </c:strCache>
            </c:strRef>
          </c:cat>
          <c:val>
            <c:numRef>
              <c:f>[工作簿1]Sheet1!$I$9</c:f>
              <c:numCache>
                <c:formatCode>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legend>
    <c:plotVisOnly val="1"/>
    <c:dispBlanksAs val="gap"/>
    <c:showDLblsOverMax val="0"/>
    <c:extLst>
      <c:ext uri="{0b15fc19-7d7d-44ad-8c2d-2c3a37ce22c3}">
        <chartProps xmlns="https://web.wps.cn/et/2018/main" chartId="{4b6bd6a3-a9c1-4f3e-ba3a-1d91253e317e}"/>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Pages>14</Pages>
  <Words>1982</Words>
  <Characters>2127</Characters>
  <Lines>0</Lines>
  <Paragraphs>0</Paragraphs>
  <TotalTime>125</TotalTime>
  <ScaleCrop>false</ScaleCrop>
  <LinksUpToDate>false</LinksUpToDate>
  <CharactersWithSpaces>2209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2022-09-05T08:44:00Z</dcterms:created>
  <dc:creator>杜海霞</dc:creator>
  <cp:lastModifiedBy>吻
火</cp:lastModifiedBy>
  <dcterms:modified xsi:type="dcterms:W3CDTF">2025-02-07T12:38:05Z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D4C6DDC126834E33928566F8BBDF6BBE_13</vt:lpwstr>
  </property>
  <property fmtid="{D5CDD505-2E9C-101B-9397-08002B2CF9AE}" pid="4" name="KSOTemplateDocerSaveRecord">
    <vt:lpwstr>eyJoZGlkIjoiYWRlZDFmZWNiMWFmNGMwZTk3ZGY5Yjc0NjdkODM1MmUiLCJ1c2VySWQiOiI1NTk2OTY4NjYifQ==</vt:lpwstr>
  </property>
</Properties>
</file>